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eastAsia" w:ascii="Arial" w:hAnsi="Arial" w:cs="Arial"/>
          <w:b/>
          <w:bCs/>
          <w:sz w:val="28"/>
          <w:szCs w:val="24"/>
          <w:lang w:val="en-US" w:eastAsia="zh-CN"/>
        </w:rPr>
      </w:pPr>
      <w:r>
        <w:rPr>
          <w:rFonts w:ascii="Arial" w:hAnsi="Arial" w:eastAsia="Batang" w:cs="Arial"/>
          <w:b/>
          <w:bCs/>
          <w:sz w:val="28"/>
          <w:szCs w:val="24"/>
          <w:lang w:eastAsia="en-US"/>
        </w:rPr>
        <w:t>3GPP TSG RAN WG1 #11</w:t>
      </w:r>
      <w:r>
        <w:rPr>
          <w:rFonts w:hint="eastAsia" w:ascii="Arial" w:hAnsi="Arial" w:cs="Arial"/>
          <w:b/>
          <w:bCs/>
          <w:sz w:val="28"/>
          <w:szCs w:val="24"/>
          <w:lang w:val="en-US" w:eastAsia="zh-CN"/>
        </w:rPr>
        <w:t>4bis</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R1-2309719</w:t>
      </w:r>
    </w:p>
    <w:p>
      <w:pPr>
        <w:tabs>
          <w:tab w:val="center" w:pos="4536"/>
          <w:tab w:val="right" w:pos="9072"/>
        </w:tabs>
        <w:spacing w:before="0" w:beforeLines="0" w:after="0" w:afterLines="0" w:line="360" w:lineRule="auto"/>
        <w:rPr>
          <w:rFonts w:ascii="Arial" w:hAnsi="Arial" w:eastAsia="MS Mincho" w:cs="Arial"/>
          <w:b/>
          <w:bCs/>
          <w:sz w:val="28"/>
          <w:lang w:eastAsia="ja-JP"/>
        </w:rPr>
      </w:pPr>
      <w:r>
        <w:rPr>
          <w:rFonts w:ascii="Arial" w:hAnsi="Arial" w:eastAsia="MS Mincho" w:cs="Arial"/>
          <w:b/>
          <w:bCs/>
          <w:sz w:val="28"/>
          <w:lang w:eastAsia="ja-JP"/>
        </w:rPr>
        <w:t>Xiamen, China, October 9</w:t>
      </w:r>
      <w:r>
        <w:rPr>
          <w:rFonts w:hint="eastAsia" w:ascii="Arial" w:hAnsi="Arial" w:eastAsia="MS Mincho" w:cs="Arial"/>
          <w:b/>
          <w:bCs/>
          <w:sz w:val="28"/>
          <w:lang w:eastAsia="ja-JP"/>
        </w:rPr>
        <w:t>th</w:t>
      </w:r>
      <w:r>
        <w:rPr>
          <w:rFonts w:ascii="Arial" w:hAnsi="Arial" w:eastAsia="MS Mincho" w:cs="Arial"/>
          <w:b/>
          <w:bCs/>
          <w:sz w:val="28"/>
          <w:lang w:eastAsia="ja-JP"/>
        </w:rPr>
        <w:t xml:space="preserve"> – </w:t>
      </w:r>
      <w:r>
        <w:rPr>
          <w:rFonts w:hint="eastAsia" w:ascii="Arial" w:hAnsi="Arial" w:eastAsia="MS Mincho" w:cs="Arial"/>
          <w:b/>
          <w:bCs/>
          <w:sz w:val="28"/>
          <w:lang w:eastAsia="ja-JP"/>
        </w:rPr>
        <w:t>October</w:t>
      </w:r>
      <w:r>
        <w:rPr>
          <w:rFonts w:ascii="Arial" w:hAnsi="Arial" w:eastAsia="MS Mincho" w:cs="Arial"/>
          <w:b/>
          <w:bCs/>
          <w:sz w:val="28"/>
          <w:lang w:eastAsia="ja-JP"/>
        </w:rPr>
        <w:t xml:space="preserve"> 13th, 2023</w:t>
      </w:r>
    </w:p>
    <w:p>
      <w:pPr>
        <w:pStyle w:val="22"/>
        <w:spacing w:before="0" w:beforeLines="0" w:after="0" w:afterLines="0" w:line="360" w:lineRule="auto"/>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22"/>
        <w:spacing w:before="0" w:beforeLines="0" w:after="0" w:afterLines="0" w:line="360" w:lineRule="auto"/>
        <w:rPr>
          <w:rFonts w:hint="default"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eastAsia="zh-CN"/>
        </w:rPr>
        <w:t>R</w:t>
      </w:r>
      <w:r>
        <w:rPr>
          <w:rFonts w:hint="eastAsia" w:ascii="Times New Roman" w:hAnsi="Times New Roman" w:cs="Times New Roman"/>
          <w:sz w:val="24"/>
          <w:szCs w:val="24"/>
          <w:lang w:val="en-US" w:eastAsia="ja-JP"/>
        </w:rPr>
        <w:t>emaining issues</w:t>
      </w:r>
      <w:r>
        <w:rPr>
          <w:rFonts w:hint="eastAsia" w:ascii="Times New Roman" w:hAnsi="Times New Roman"/>
          <w:sz w:val="24"/>
          <w:szCs w:val="24"/>
          <w:lang w:val="en-US"/>
        </w:rPr>
        <w:t xml:space="preserve"> on UE complexity</w:t>
      </w:r>
      <w:r>
        <w:rPr>
          <w:rFonts w:hint="eastAsia" w:ascii="Times New Roman" w:hAnsi="Times New Roman"/>
          <w:sz w:val="24"/>
          <w:szCs w:val="24"/>
          <w:lang w:val="en-US" w:eastAsia="zh-CN"/>
        </w:rPr>
        <w:t xml:space="preserve"> reduction</w:t>
      </w:r>
    </w:p>
    <w:p>
      <w:pPr>
        <w:pStyle w:val="22"/>
        <w:spacing w:before="0" w:beforeLines="0" w:after="0" w:afterLines="0" w:line="360" w:lineRule="auto"/>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8</w:t>
      </w:r>
      <w:r>
        <w:rPr>
          <w:rFonts w:ascii="Times New Roman" w:hAnsi="Times New Roman"/>
          <w:sz w:val="24"/>
          <w:szCs w:val="24"/>
          <w:lang w:eastAsia="zh-CN"/>
        </w:rPr>
        <w:t>.</w:t>
      </w:r>
      <w:r>
        <w:rPr>
          <w:rFonts w:hint="eastAsia" w:ascii="Times New Roman" w:hAnsi="Times New Roman"/>
          <w:sz w:val="24"/>
          <w:szCs w:val="24"/>
          <w:lang w:val="en-US" w:eastAsia="zh-CN"/>
        </w:rPr>
        <w:t>4</w:t>
      </w:r>
      <w:r>
        <w:rPr>
          <w:rFonts w:ascii="Times New Roman" w:hAnsi="Times New Roman"/>
          <w:sz w:val="24"/>
          <w:szCs w:val="24"/>
          <w:lang w:eastAsia="zh-CN"/>
        </w:rPr>
        <w:t>.1</w:t>
      </w:r>
    </w:p>
    <w:p>
      <w:pPr>
        <w:pStyle w:val="22"/>
        <w:spacing w:before="0" w:beforeLines="0" w:after="0" w:afterLines="0" w:line="360" w:lineRule="auto"/>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before="240" w:beforeLines="0" w:after="180" w:afterLines="0" w:line="24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0" w:after="0" w:afterLines="5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ja-JP"/>
        </w:rPr>
        <w:t>In RAN</w:t>
      </w:r>
      <w:r>
        <w:rPr>
          <w:rFonts w:hint="eastAsia" w:cs="Times New Roman"/>
          <w:sz w:val="20"/>
          <w:szCs w:val="20"/>
          <w:lang w:val="en-US" w:eastAsia="zh-CN"/>
        </w:rPr>
        <w:t>1</w:t>
      </w:r>
      <w:r>
        <w:rPr>
          <w:rFonts w:hint="eastAsia" w:ascii="Times New Roman" w:hAnsi="Times New Roman" w:cs="Times New Roman"/>
          <w:sz w:val="20"/>
          <w:szCs w:val="20"/>
          <w:lang w:val="en-US" w:eastAsia="ja-JP"/>
        </w:rPr>
        <w:t>#</w:t>
      </w:r>
      <w:r>
        <w:rPr>
          <w:rFonts w:hint="eastAsia" w:cs="Times New Roman"/>
          <w:sz w:val="20"/>
          <w:szCs w:val="20"/>
          <w:lang w:val="en-US" w:eastAsia="zh-CN"/>
        </w:rPr>
        <w:t>114</w:t>
      </w:r>
      <w:r>
        <w:rPr>
          <w:rFonts w:hint="eastAsia" w:ascii="Times New Roman" w:hAnsi="Times New Roman" w:cs="Times New Roman"/>
          <w:sz w:val="20"/>
          <w:szCs w:val="20"/>
          <w:lang w:val="en-US" w:eastAsia="ja-JP"/>
        </w:rPr>
        <w:t xml:space="preserve"> </w:t>
      </w:r>
      <w:r>
        <w:rPr>
          <w:rFonts w:hint="eastAsia" w:ascii="Times New Roman" w:hAnsi="Times New Roman" w:cs="Times New Roman"/>
          <w:sz w:val="20"/>
          <w:szCs w:val="20"/>
          <w:lang w:val="en-US" w:eastAsia="zh-CN"/>
        </w:rPr>
        <w:t>meeting</w:t>
      </w:r>
      <w:r>
        <w:rPr>
          <w:rFonts w:hint="eastAsia" w:cs="Times New Roman"/>
          <w:sz w:val="20"/>
          <w:szCs w:val="20"/>
          <w:lang w:val="en-US" w:eastAsia="zh-CN"/>
        </w:rPr>
        <w:t>[1]</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the following agreements were reached</w:t>
      </w:r>
      <w:r>
        <w:rPr>
          <w:rFonts w:hint="eastAsia" w:ascii="Times New Roman" w:hAnsi="Times New Roman" w:cs="Times New Roman"/>
          <w:sz w:val="20"/>
          <w:szCs w:val="20"/>
          <w:lang w:val="en-US" w:eastAsia="zh-CN"/>
        </w:rPr>
        <w:t>:</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lang w:eastAsia="zh-CN"/>
              </w:rPr>
            </w:pPr>
            <w:r>
              <w:rPr>
                <w:rFonts w:hint="eastAsia"/>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r>
              <w:rPr>
                <w:rFonts w:hint="eastAsia"/>
                <w:sz w:val="20"/>
                <w:szCs w:val="20"/>
                <w:lang w:eastAsia="zh-CN"/>
              </w:rPr>
              <w:t>For UE BB bandwidth reduction, for 2-step RACH, assuming that MsgA PUSCH indication is transmitted:</w:t>
            </w:r>
          </w:p>
          <w:p>
            <w:pPr>
              <w:pStyle w:val="23"/>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sz w:val="20"/>
              </w:rPr>
            </w:pPr>
            <w:r>
              <w:rPr>
                <w:rFonts w:hint="eastAsia"/>
                <w:sz w:val="20"/>
              </w:rPr>
              <w:t>The same timeline relaxation as for the Msg2-Msg3 timeline (i.e., 1 slot for Msg2 PDSCH larger than 25 PRBs for 15 kHz SCS and 12 PRBs for 30 kHz SCS) applies at least for the following cases:</w:t>
            </w:r>
          </w:p>
          <w:p>
            <w:pPr>
              <w:pStyle w:val="23"/>
              <w:keepNext w:val="0"/>
              <w:keepLines w:val="0"/>
              <w:widowControl/>
              <w:numPr>
                <w:ilvl w:val="1"/>
                <w:numId w:val="2"/>
              </w:numPr>
              <w:suppressLineNumbers w:val="0"/>
              <w:overflowPunct w:val="0"/>
              <w:autoSpaceDE w:val="0"/>
              <w:autoSpaceDN w:val="0"/>
              <w:adjustRightInd w:val="0"/>
              <w:spacing w:beforeAutospacing="0" w:afterAutospacing="0"/>
              <w:ind w:right="0"/>
              <w:textAlignment w:val="baseline"/>
              <w:rPr>
                <w:rFonts w:hint="eastAsia"/>
                <w:sz w:val="20"/>
              </w:rPr>
            </w:pPr>
            <w:r>
              <w:rPr>
                <w:rFonts w:hint="eastAsia"/>
                <w:sz w:val="20"/>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pPr>
              <w:pStyle w:val="23"/>
              <w:keepNext w:val="0"/>
              <w:keepLines w:val="0"/>
              <w:widowControl/>
              <w:numPr>
                <w:ilvl w:val="1"/>
                <w:numId w:val="2"/>
              </w:numPr>
              <w:suppressLineNumbers w:val="0"/>
              <w:overflowPunct w:val="0"/>
              <w:autoSpaceDE w:val="0"/>
              <w:autoSpaceDN w:val="0"/>
              <w:adjustRightInd w:val="0"/>
              <w:spacing w:beforeAutospacing="0" w:afterAutospacing="0"/>
              <w:ind w:right="0"/>
              <w:textAlignment w:val="baseline"/>
              <w:rPr>
                <w:rFonts w:hint="eastAsia"/>
                <w:sz w:val="20"/>
              </w:rPr>
            </w:pPr>
            <w:r>
              <w:rPr>
                <w:rFonts w:hint="eastAsia"/>
                <w:sz w:val="20"/>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等线"/>
                <w:sz w:val="20"/>
                <w:szCs w:val="20"/>
                <w:highlight w:val="green"/>
                <w:lang w:eastAsia="zh-CN"/>
              </w:rPr>
            </w:pPr>
            <w:r>
              <w:rPr>
                <w:rFonts w:hint="eastAsia" w:eastAsia="等线"/>
                <w:sz w:val="20"/>
                <w:szCs w:val="20"/>
                <w:highlight w:val="green"/>
                <w:lang w:eastAsia="zh-CN"/>
              </w:rPr>
              <w:t>Agreement</w:t>
            </w:r>
          </w:p>
          <w:p>
            <w:pPr>
              <w:keepNext w:val="0"/>
              <w:keepLines w:val="0"/>
              <w:widowControl/>
              <w:numPr>
                <w:ilvl w:val="0"/>
                <w:numId w:val="3"/>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The UE needs to signal peak data rate 10-Mbps related parameters corresponding to </w:t>
            </w:r>
            <w:r>
              <w:rPr>
                <w:rFonts w:hint="eastAsia" w:ascii="Times New Roman" w:hAnsi="Times New Roman"/>
                <w:i/>
                <w:iCs/>
                <w:sz w:val="20"/>
                <w:szCs w:val="20"/>
                <w:lang w:eastAsia="zh-CN"/>
              </w:rPr>
              <w:t>v</w:t>
            </w:r>
            <w:r>
              <w:rPr>
                <w:rFonts w:hint="eastAsia" w:ascii="Times New Roman" w:hAnsi="Times New Roman"/>
                <w:i/>
                <w:iCs/>
                <w:sz w:val="20"/>
                <w:szCs w:val="20"/>
                <w:vertAlign w:val="subscript"/>
                <w:lang w:eastAsia="zh-CN"/>
              </w:rPr>
              <w:t>Layers</w:t>
            </w:r>
            <w:r>
              <w:rPr>
                <w:rFonts w:hint="eastAsia" w:ascii="Times New Roman" w:hAnsi="Times New Roman"/>
                <w:sz w:val="20"/>
                <w:szCs w:val="20"/>
                <w:lang w:eastAsia="zh-CN"/>
              </w:rPr>
              <w:t xml:space="preserve">, </w:t>
            </w:r>
            <w:r>
              <w:rPr>
                <w:rFonts w:hint="eastAsia" w:ascii="Times New Roman" w:hAnsi="Times New Roman"/>
                <w:i/>
                <w:iCs/>
                <w:sz w:val="20"/>
                <w:szCs w:val="20"/>
                <w:lang w:eastAsia="zh-CN"/>
              </w:rPr>
              <w:t>Q</w:t>
            </w:r>
            <w:r>
              <w:rPr>
                <w:rFonts w:hint="eastAsia" w:ascii="Times New Roman" w:hAnsi="Times New Roman"/>
                <w:i/>
                <w:iCs/>
                <w:sz w:val="20"/>
                <w:szCs w:val="20"/>
                <w:vertAlign w:val="subscript"/>
                <w:lang w:eastAsia="zh-CN"/>
              </w:rPr>
              <w:t>m</w:t>
            </w:r>
            <w:r>
              <w:rPr>
                <w:rFonts w:hint="eastAsia" w:ascii="Times New Roman" w:hAnsi="Times New Roman"/>
                <w:sz w:val="20"/>
                <w:szCs w:val="20"/>
                <w:lang w:eastAsia="zh-CN"/>
              </w:rPr>
              <w:t xml:space="preserve"> and </w:t>
            </w:r>
            <w:r>
              <w:rPr>
                <w:rFonts w:hint="eastAsia" w:ascii="Times New Roman" w:hAnsi="Times New Roman"/>
                <w:i/>
                <w:iCs/>
                <w:sz w:val="20"/>
                <w:szCs w:val="20"/>
                <w:lang w:eastAsia="zh-CN"/>
              </w:rPr>
              <w:t>f</w:t>
            </w:r>
            <w:r>
              <w:rPr>
                <w:rFonts w:hint="eastAsia" w:ascii="Times New Roman" w:hAnsi="Times New Roman"/>
                <w:sz w:val="20"/>
                <w:szCs w:val="20"/>
                <w:lang w:eastAsia="zh-CN"/>
              </w:rPr>
              <w:t>.</w:t>
            </w:r>
          </w:p>
          <w:p>
            <w:pPr>
              <w:keepNext w:val="0"/>
              <w:keepLines w:val="0"/>
              <w:widowControl/>
              <w:numPr>
                <w:ilvl w:val="1"/>
                <w:numId w:val="3"/>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No new values for the above parameters will be introduced for Rel-18 eRedCap.</w:t>
            </w:r>
          </w:p>
          <w:p>
            <w:pPr>
              <w:keepNext w:val="0"/>
              <w:keepLines w:val="0"/>
              <w:widowControl/>
              <w:numPr>
                <w:ilvl w:val="1"/>
                <w:numId w:val="3"/>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FG 48-2, when </w:t>
            </w:r>
            <w:r>
              <w:rPr>
                <w:rFonts w:hint="eastAsia" w:ascii="Times New Roman" w:hAnsi="Times New Roman"/>
                <w:i/>
                <w:iCs/>
                <w:sz w:val="20"/>
                <w:szCs w:val="20"/>
                <w:lang w:eastAsia="zh-CN"/>
              </w:rPr>
              <w:t>v</w:t>
            </w:r>
            <w:r>
              <w:rPr>
                <w:rFonts w:hint="eastAsia" w:ascii="Times New Roman" w:hAnsi="Times New Roman"/>
                <w:i/>
                <w:iCs/>
                <w:sz w:val="20"/>
                <w:szCs w:val="20"/>
                <w:vertAlign w:val="subscript"/>
                <w:lang w:eastAsia="zh-CN"/>
              </w:rPr>
              <w:t>Layers</w:t>
            </w:r>
            <w:r>
              <w:rPr>
                <w:rFonts w:hint="eastAsia" w:ascii="Times New Roman" w:hAnsi="Times New Roman"/>
                <w:sz w:val="20"/>
                <w:szCs w:val="20"/>
                <w:lang w:eastAsia="zh-CN"/>
              </w:rPr>
              <w:t xml:space="preserve"> = 2, the peak rate target corresponds to a </w:t>
            </w:r>
            <w:r>
              <w:rPr>
                <w:rFonts w:hint="eastAsia" w:ascii="Times New Roman" w:hAnsi="Times New Roman"/>
                <w:i/>
                <w:iCs/>
                <w:sz w:val="20"/>
                <w:szCs w:val="20"/>
                <w:lang w:eastAsia="zh-CN"/>
              </w:rPr>
              <w:t>v</w:t>
            </w:r>
            <w:r>
              <w:rPr>
                <w:rFonts w:hint="eastAsia" w:ascii="Times New Roman" w:hAnsi="Times New Roman"/>
                <w:i/>
                <w:iCs/>
                <w:sz w:val="20"/>
                <w:szCs w:val="20"/>
                <w:vertAlign w:val="subscript"/>
                <w:lang w:eastAsia="zh-CN"/>
              </w:rPr>
              <w:t>Layers</w:t>
            </w:r>
            <w:r>
              <w:rPr>
                <w:rFonts w:hint="eastAsia" w:ascii="Times New Roman" w:hAnsi="Times New Roman"/>
                <w:sz w:val="20"/>
                <w:szCs w:val="20"/>
                <w:lang w:eastAsia="zh-CN"/>
              </w:rPr>
              <w:t>·</w:t>
            </w:r>
            <w:r>
              <w:rPr>
                <w:rFonts w:hint="eastAsia" w:ascii="Times New Roman" w:hAnsi="Times New Roman"/>
                <w:i/>
                <w:iCs/>
                <w:sz w:val="20"/>
                <w:szCs w:val="20"/>
                <w:lang w:eastAsia="zh-CN"/>
              </w:rPr>
              <w:t>Q</w:t>
            </w:r>
            <w:r>
              <w:rPr>
                <w:rFonts w:hint="eastAsia" w:ascii="Times New Roman" w:hAnsi="Times New Roman"/>
                <w:i/>
                <w:iCs/>
                <w:sz w:val="20"/>
                <w:szCs w:val="20"/>
                <w:vertAlign w:val="subscript"/>
                <w:lang w:eastAsia="zh-CN"/>
              </w:rPr>
              <w:t>m</w:t>
            </w:r>
            <w:r>
              <w:rPr>
                <w:rFonts w:hint="eastAsia" w:ascii="Times New Roman" w:hAnsi="Times New Roman"/>
                <w:sz w:val="20"/>
                <w:szCs w:val="20"/>
                <w:lang w:eastAsia="zh-CN"/>
              </w:rPr>
              <w:t>·</w:t>
            </w:r>
            <w:r>
              <w:rPr>
                <w:rFonts w:hint="eastAsia" w:ascii="Times New Roman" w:hAnsi="Times New Roman"/>
                <w:i/>
                <w:iCs/>
                <w:sz w:val="20"/>
                <w:szCs w:val="20"/>
                <w:lang w:eastAsia="zh-CN"/>
              </w:rPr>
              <w:t>f</w:t>
            </w:r>
            <w:r>
              <w:rPr>
                <w:rFonts w:hint="eastAsia" w:ascii="Times New Roman" w:hAnsi="Times New Roman"/>
                <w:sz w:val="20"/>
                <w:szCs w:val="20"/>
                <w:lang w:eastAsia="zh-CN"/>
              </w:rPr>
              <w:t xml:space="preserve"> of 0.8 (instead of 0.75).</w:t>
            </w:r>
          </w:p>
          <w:p>
            <w:pPr>
              <w:keepNext w:val="0"/>
              <w:keepLines w:val="0"/>
              <w:widowControl/>
              <w:suppressLineNumbers w:val="0"/>
              <w:tabs>
                <w:tab w:val="left" w:pos="1257"/>
              </w:tabs>
              <w:overflowPunct w:val="0"/>
              <w:autoSpaceDE w:val="0"/>
              <w:autoSpaceDN w:val="0"/>
              <w:adjustRightInd w:val="0"/>
              <w:spacing w:beforeAutospacing="0" w:afterAutospacing="0"/>
              <w:ind w:right="0"/>
              <w:textAlignment w:val="baseline"/>
              <w:rPr>
                <w:rFonts w:hint="eastAsia"/>
                <w:b/>
                <w:bCs/>
                <w:sz w:val="20"/>
                <w:szCs w:val="22"/>
              </w:rPr>
            </w:pPr>
          </w:p>
          <w:p>
            <w:pPr>
              <w:keepNext w:val="0"/>
              <w:keepLines w:val="0"/>
              <w:widowControl/>
              <w:suppressLineNumbers w:val="0"/>
              <w:overflowPunct w:val="0"/>
              <w:autoSpaceDE w:val="0"/>
              <w:autoSpaceDN w:val="0"/>
              <w:adjustRightInd w:val="0"/>
              <w:spacing w:beforeAutospacing="0" w:after="180" w:afterAutospacing="0" w:line="252" w:lineRule="auto"/>
              <w:ind w:right="0"/>
              <w:contextualSpacing/>
              <w:jc w:val="both"/>
              <w:textAlignment w:val="baseline"/>
              <w:rPr>
                <w:rFonts w:hint="eastAsia"/>
                <w:bCs/>
                <w:sz w:val="20"/>
                <w:szCs w:val="22"/>
                <w:u w:val="single"/>
                <w:lang w:eastAsia="zh-CN"/>
              </w:rPr>
            </w:pPr>
            <w:r>
              <w:rPr>
                <w:rFonts w:hint="eastAsia"/>
                <w:bCs/>
                <w:sz w:val="20"/>
                <w:szCs w:val="22"/>
                <w:u w:val="single"/>
                <w:lang w:eastAsia="zh-CN"/>
              </w:rPr>
              <w:t>Conclusion</w:t>
            </w:r>
          </w:p>
          <w:p>
            <w:pPr>
              <w:keepNext w:val="0"/>
              <w:keepLines w:val="0"/>
              <w:widowControl/>
              <w:numPr>
                <w:ilvl w:val="0"/>
                <w:numId w:val="4"/>
              </w:numPr>
              <w:suppressLineNumbers w:val="0"/>
              <w:overflowPunct w:val="0"/>
              <w:autoSpaceDE w:val="0"/>
              <w:autoSpaceDN w:val="0"/>
              <w:adjustRightInd w:val="0"/>
              <w:spacing w:beforeAutospacing="0" w:after="180" w:afterAutospacing="0" w:line="252" w:lineRule="auto"/>
              <w:ind w:right="0"/>
              <w:contextualSpacing/>
              <w:jc w:val="both"/>
              <w:textAlignment w:val="baseline"/>
              <w:rPr>
                <w:rFonts w:hint="eastAsia"/>
                <w:bCs/>
                <w:sz w:val="20"/>
                <w:szCs w:val="22"/>
                <w:lang w:eastAsia="zh-CN"/>
              </w:rPr>
            </w:pPr>
            <w:r>
              <w:rPr>
                <w:rFonts w:hint="eastAsia"/>
                <w:bCs/>
                <w:sz w:val="20"/>
                <w:szCs w:val="22"/>
                <w:lang w:eastAsia="zh-CN"/>
              </w:rPr>
              <w:t>For Rel-18 eRedCap UEs, the following features are still supported as optional features:</w:t>
            </w:r>
          </w:p>
          <w:p>
            <w:pPr>
              <w:keepNext w:val="0"/>
              <w:keepLines w:val="0"/>
              <w:widowControl/>
              <w:numPr>
                <w:ilvl w:val="1"/>
                <w:numId w:val="5"/>
              </w:numPr>
              <w:suppressLineNumbers w:val="0"/>
              <w:overflowPunct w:val="0"/>
              <w:autoSpaceDE w:val="0"/>
              <w:autoSpaceDN w:val="0"/>
              <w:adjustRightInd w:val="0"/>
              <w:spacing w:beforeAutospacing="0" w:after="180" w:afterAutospacing="0" w:line="252" w:lineRule="auto"/>
              <w:ind w:right="0"/>
              <w:contextualSpacing/>
              <w:jc w:val="both"/>
              <w:textAlignment w:val="baseline"/>
              <w:rPr>
                <w:rFonts w:hint="eastAsia" w:ascii="Times New Roman" w:hAnsi="Times New Roman"/>
                <w:bCs/>
                <w:sz w:val="20"/>
                <w:szCs w:val="20"/>
                <w:lang w:eastAsia="zh-CN"/>
              </w:rPr>
            </w:pPr>
            <w:r>
              <w:rPr>
                <w:rFonts w:hint="eastAsia" w:ascii="Times New Roman" w:hAnsi="Times New Roman"/>
                <w:bCs/>
                <w:sz w:val="20"/>
                <w:szCs w:val="20"/>
                <w:lang w:eastAsia="zh-CN"/>
              </w:rPr>
              <w:t>2 Rx branches with DL MIMO</w:t>
            </w:r>
          </w:p>
          <w:p>
            <w:pPr>
              <w:keepNext w:val="0"/>
              <w:keepLines w:val="0"/>
              <w:widowControl/>
              <w:numPr>
                <w:ilvl w:val="1"/>
                <w:numId w:val="5"/>
              </w:numPr>
              <w:suppressLineNumbers w:val="0"/>
              <w:overflowPunct w:val="0"/>
              <w:autoSpaceDE w:val="0"/>
              <w:autoSpaceDN w:val="0"/>
              <w:adjustRightInd w:val="0"/>
              <w:spacing w:beforeAutospacing="0" w:after="180" w:afterAutospacing="0" w:line="252" w:lineRule="auto"/>
              <w:ind w:right="0"/>
              <w:contextualSpacing/>
              <w:jc w:val="both"/>
              <w:textAlignment w:val="baseline"/>
              <w:rPr>
                <w:rFonts w:hint="eastAsia" w:ascii="Times New Roman" w:hAnsi="Times New Roman"/>
                <w:bCs/>
                <w:sz w:val="20"/>
                <w:szCs w:val="20"/>
                <w:lang w:eastAsia="zh-CN"/>
              </w:rPr>
            </w:pPr>
            <w:r>
              <w:rPr>
                <w:rFonts w:hint="eastAsia" w:ascii="Times New Roman" w:hAnsi="Times New Roman"/>
                <w:bCs/>
                <w:sz w:val="20"/>
                <w:szCs w:val="20"/>
                <w:lang w:eastAsia="zh-CN"/>
              </w:rPr>
              <w:t>DL 256QAM</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rPr>
            </w:pPr>
            <w:r>
              <w:rPr>
                <w:rFonts w:hint="eastAsia"/>
                <w:sz w:val="20"/>
                <w:szCs w:val="20"/>
                <w:highlight w:val="green"/>
              </w:rPr>
              <w:t>Agreement</w:t>
            </w:r>
          </w:p>
          <w:p>
            <w:pPr>
              <w:keepNext w:val="0"/>
              <w:keepLines w:val="0"/>
              <w:widowControl/>
              <w:numPr>
                <w:ilvl w:val="0"/>
                <w:numId w:val="6"/>
              </w:numPr>
              <w:suppressLineNumbers w:val="0"/>
              <w:overflowPunct w:val="0"/>
              <w:autoSpaceDE w:val="0"/>
              <w:autoSpaceDN w:val="0"/>
              <w:adjustRightInd w:val="0"/>
              <w:spacing w:beforeAutospacing="0" w:after="180" w:afterAutospacing="0" w:line="252" w:lineRule="auto"/>
              <w:ind w:right="0"/>
              <w:contextualSpacing/>
              <w:jc w:val="both"/>
              <w:textAlignment w:val="baseline"/>
              <w:rPr>
                <w:rFonts w:hint="eastAsia"/>
                <w:sz w:val="20"/>
                <w:szCs w:val="22"/>
                <w:lang w:eastAsia="zh-CN"/>
              </w:rPr>
            </w:pPr>
            <w:r>
              <w:rPr>
                <w:rFonts w:hint="eastAsia"/>
                <w:sz w:val="20"/>
                <w:szCs w:val="22"/>
                <w:lang w:eastAsia="zh-CN"/>
              </w:rPr>
              <w:t>Send LS to RAN2 (cc RAN4) to inform about RAN1 agreements on peak rate reduction with 38.306 impact.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yellow"/>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rPr>
            </w:pPr>
            <w:r>
              <w:rPr>
                <w:rFonts w:hint="eastAsia"/>
                <w:sz w:val="20"/>
                <w:szCs w:val="20"/>
                <w:highlight w:val="green"/>
              </w:rPr>
              <w:t>Agreement</w:t>
            </w:r>
          </w:p>
          <w:p>
            <w:pPr>
              <w:keepNext w:val="0"/>
              <w:keepLines w:val="0"/>
              <w:widowControl/>
              <w:numPr>
                <w:ilvl w:val="0"/>
                <w:numId w:val="7"/>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highlight w:val="green"/>
              </w:rPr>
            </w:pPr>
            <w:r>
              <w:rPr>
                <w:rFonts w:hint="eastAsia"/>
                <w:sz w:val="20"/>
                <w:szCs w:val="20"/>
                <w:highlight w:val="green"/>
              </w:rPr>
              <w:t>Agreement</w:t>
            </w:r>
          </w:p>
          <w:p>
            <w:pPr>
              <w:keepNext w:val="0"/>
              <w:keepLines w:val="0"/>
              <w:widowControl/>
              <w:numPr>
                <w:ilvl w:val="0"/>
                <w:numId w:val="8"/>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sz w:val="20"/>
                <w:szCs w:val="22"/>
                <w:lang w:eastAsia="sv-SE"/>
              </w:rPr>
            </w:pPr>
            <w:r>
              <w:rPr>
                <w:rFonts w:hint="eastAsia"/>
                <w:sz w:val="20"/>
                <w:szCs w:val="22"/>
                <w:lang w:eastAsia="sv-SE"/>
              </w:rPr>
              <w:t xml:space="preserve">For UE BB bandwidth reduction, when PDSCH scheduled with RA-RNTI or MSGB-RNTI </w:t>
            </w:r>
            <w:r>
              <w:rPr>
                <w:rFonts w:hint="eastAsia"/>
                <w:color w:val="auto"/>
                <w:sz w:val="20"/>
                <w:szCs w:val="22"/>
                <w:u w:val="none"/>
                <w:lang w:eastAsia="sv-SE"/>
              </w:rPr>
              <w:t>is not greater</w:t>
            </w:r>
            <w:r>
              <w:rPr>
                <w:rFonts w:hint="eastAsia"/>
                <w:color w:val="auto"/>
                <w:sz w:val="20"/>
                <w:szCs w:val="22"/>
                <w:lang w:eastAsia="sv-SE"/>
              </w:rPr>
              <w:t xml:space="preserve"> </w:t>
            </w:r>
            <w:r>
              <w:rPr>
                <w:rFonts w:hint="eastAsia"/>
                <w:sz w:val="20"/>
                <w:szCs w:val="22"/>
                <w:lang w:eastAsia="sv-SE"/>
              </w:rPr>
              <w:t>than 25/12 PRBs with 15/30kHz SCS, 38.214 clause 5.1 still applies, i.e.:</w:t>
            </w:r>
          </w:p>
          <w:p>
            <w:pPr>
              <w:keepNext w:val="0"/>
              <w:keepLines w:val="0"/>
              <w:widowControl/>
              <w:numPr>
                <w:ilvl w:val="1"/>
                <w:numId w:val="8"/>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sz w:val="20"/>
                <w:szCs w:val="22"/>
                <w:lang w:eastAsia="sv-SE"/>
              </w:rPr>
            </w:pPr>
            <w:r>
              <w:rPr>
                <w:rFonts w:hint="eastAsia"/>
                <w:sz w:val="20"/>
                <w:szCs w:val="22"/>
                <w:lang w:eastAsia="sv-SE"/>
              </w:rPr>
              <w:t>“The UE is not expected to decode a PDSCH scheduled with C-RNTI, MCS-C-RNTI, G-RNTI for multicast or broadcast, MCCH-RNTI, G-CS-RNTI or CS-RNTI if another PDSCH in the same cell scheduled with RA-RNTI or MSGB-RNTI partially or fully overlap in time.”</w:t>
            </w:r>
          </w:p>
          <w:p>
            <w:pPr>
              <w:keepNext w:val="0"/>
              <w:keepLines w:val="0"/>
              <w:widowControl/>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u w:val="single"/>
                <w:lang w:val="en-US" w:eastAsia="zh-CN"/>
              </w:rPr>
            </w:pPr>
            <w:r>
              <w:rPr>
                <w:rFonts w:hint="eastAsia" w:ascii="Times New Roman" w:hAnsi="Times New Roman"/>
                <w:sz w:val="20"/>
                <w:szCs w:val="20"/>
                <w:u w:val="single"/>
                <w:lang w:val="en-US" w:eastAsia="zh-CN"/>
              </w:rPr>
              <w:t>Conclusion</w:t>
            </w:r>
          </w:p>
          <w:p>
            <w:pPr>
              <w:keepNext w:val="0"/>
              <w:keepLines w:val="0"/>
              <w:widowControl/>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For UE BB bandwidth reduction, for Msg4 PDSCH scheduled by TC-RNTI during a process of autonomous SI acquisition, no specification change.</w:t>
            </w:r>
          </w:p>
          <w:p>
            <w:pPr>
              <w:keepNext w:val="0"/>
              <w:keepLines w:val="0"/>
              <w:widowControl/>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val="en-US"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等线"/>
                <w:sz w:val="20"/>
                <w:szCs w:val="20"/>
                <w:highlight w:val="green"/>
                <w:lang w:eastAsia="zh-CN"/>
              </w:rPr>
            </w:pPr>
            <w:r>
              <w:rPr>
                <w:rFonts w:hint="eastAsia" w:ascii="Times New Roman" w:hAnsi="Times New Roman" w:eastAsia="等线"/>
                <w:sz w:val="20"/>
                <w:szCs w:val="20"/>
                <w:highlight w:val="green"/>
                <w:lang w:eastAsia="zh-CN"/>
              </w:rPr>
              <w:t>Agreement</w:t>
            </w:r>
          </w:p>
          <w:p>
            <w:pPr>
              <w:keepNext w:val="0"/>
              <w:keepLines w:val="0"/>
              <w:widowControl/>
              <w:numPr>
                <w:ilvl w:val="0"/>
                <w:numId w:val="8"/>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val="en-US" w:eastAsia="sv-SE"/>
              </w:rPr>
            </w:pPr>
            <w:r>
              <w:rPr>
                <w:rFonts w:hint="eastAsia" w:ascii="Times New Roman" w:hAnsi="Times New Roman"/>
                <w:sz w:val="20"/>
                <w:szCs w:val="20"/>
                <w:lang w:val="en-US" w:eastAsia="sv-SE"/>
              </w:rPr>
              <w:t xml:space="preserve">For UE BB bandwidth reduction, when PDSCH scheduled with RA-RNTI or MSGB-RNTI </w:t>
            </w:r>
            <w:r>
              <w:rPr>
                <w:rFonts w:hint="eastAsia" w:ascii="Times New Roman" w:hAnsi="Times New Roman"/>
                <w:sz w:val="20"/>
                <w:szCs w:val="20"/>
                <w:u w:val="none"/>
                <w:lang w:val="en-US" w:eastAsia="sv-SE"/>
              </w:rPr>
              <w:t>is greater</w:t>
            </w:r>
            <w:r>
              <w:rPr>
                <w:rFonts w:hint="eastAsia" w:ascii="Times New Roman" w:hAnsi="Times New Roman"/>
                <w:sz w:val="20"/>
                <w:szCs w:val="20"/>
                <w:lang w:val="en-US" w:eastAsia="sv-SE"/>
              </w:rPr>
              <w:t xml:space="preserve"> than 25/12 PRBs with 15/30kHz SCS, support the following UE behavior:</w:t>
            </w:r>
          </w:p>
          <w:p>
            <w:pPr>
              <w:keepNext w:val="0"/>
              <w:keepLines w:val="0"/>
              <w:widowControl/>
              <w:numPr>
                <w:ilvl w:val="1"/>
                <w:numId w:val="8"/>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val="en-US" w:eastAsia="sv-SE"/>
              </w:rPr>
            </w:pPr>
            <w:r>
              <w:rPr>
                <w:rFonts w:hint="eastAsia" w:ascii="Times New Roman" w:hAnsi="Times New Roman"/>
                <w:sz w:val="20"/>
                <w:szCs w:val="20"/>
                <w:lang w:val="en-US" w:eastAsia="sv-SE"/>
              </w:rPr>
              <w:t>UE behavior 2: Relaxed random access processing timeline in connected mode:</w:t>
            </w:r>
          </w:p>
          <w:p>
            <w:pPr>
              <w:keepNext w:val="0"/>
              <w:keepLines w:val="0"/>
              <w:widowControl/>
              <w:numPr>
                <w:ilvl w:val="2"/>
                <w:numId w:val="8"/>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val="en-US" w:eastAsia="sv-SE"/>
              </w:rPr>
            </w:pPr>
            <w:r>
              <w:rPr>
                <w:rFonts w:hint="eastAsia" w:ascii="Times New Roman" w:hAnsi="Times New Roman"/>
                <w:sz w:val="20"/>
                <w:szCs w:val="20"/>
                <w:lang w:val="en-US" w:eastAsia="sv-SE"/>
              </w:rPr>
              <w:t xml:space="preserve">The UE is not expected to decode a PDSCH scheduled with C-RNTI, MCS-C-RNTI, G-RNTI for multicast or broadcast, MCCH-RNTI, G-CS-RNTI or CS-RNTI </w:t>
            </w:r>
            <w:r>
              <w:rPr>
                <w:rFonts w:hint="eastAsia" w:ascii="Times New Roman" w:hAnsi="Times New Roman"/>
                <w:sz w:val="20"/>
                <w:szCs w:val="20"/>
                <w:u w:val="single"/>
                <w:lang w:val="en-US" w:eastAsia="sv-SE"/>
              </w:rPr>
              <w:t>in the same or next slot</w:t>
            </w:r>
            <w:r>
              <w:rPr>
                <w:rFonts w:hint="eastAsia" w:ascii="Times New Roman" w:hAnsi="Times New Roman"/>
                <w:sz w:val="20"/>
                <w:szCs w:val="20"/>
                <w:lang w:val="en-US" w:eastAsia="sv-SE"/>
              </w:rPr>
              <w:t xml:space="preserve"> if another PDSCH in the same cell </w:t>
            </w:r>
            <w:r>
              <w:rPr>
                <w:rFonts w:hint="eastAsia" w:ascii="Times New Roman" w:hAnsi="Times New Roman"/>
                <w:sz w:val="20"/>
                <w:szCs w:val="20"/>
                <w:u w:val="single"/>
                <w:lang w:val="en-US" w:eastAsia="sv-SE"/>
              </w:rPr>
              <w:t>is</w:t>
            </w:r>
            <w:r>
              <w:rPr>
                <w:rFonts w:hint="eastAsia" w:ascii="Times New Roman" w:hAnsi="Times New Roman"/>
                <w:sz w:val="20"/>
                <w:szCs w:val="20"/>
                <w:lang w:val="en-US" w:eastAsia="sv-SE"/>
              </w:rPr>
              <w:t xml:space="preserve"> scheduled with RA-RNTI or MSGB-RNTI</w:t>
            </w:r>
            <w:r>
              <w:rPr>
                <w:rFonts w:hint="eastAsia" w:ascii="Times New Roman" w:hAnsi="Times New Roman"/>
                <w:strike/>
                <w:color w:val="FF0000"/>
                <w:sz w:val="20"/>
                <w:szCs w:val="20"/>
                <w:lang w:val="en-US" w:eastAsia="sv-SE"/>
              </w:rPr>
              <w:t xml:space="preserve">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等线"/>
                <w:sz w:val="20"/>
                <w:szCs w:val="20"/>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等线"/>
                <w:sz w:val="20"/>
                <w:szCs w:val="20"/>
                <w:highlight w:val="green"/>
                <w:lang w:eastAsia="zh-CN"/>
              </w:rPr>
            </w:pPr>
            <w:r>
              <w:rPr>
                <w:rFonts w:hint="eastAsia" w:ascii="Times New Roman" w:hAnsi="Times New Roman" w:eastAsia="等线"/>
                <w:sz w:val="20"/>
                <w:szCs w:val="20"/>
                <w:highlight w:val="green"/>
                <w:lang w:eastAsia="zh-CN"/>
              </w:rPr>
              <w:t>Agreement</w:t>
            </w:r>
          </w:p>
          <w:p>
            <w:pPr>
              <w:keepNext w:val="0"/>
              <w:keepLines w:val="0"/>
              <w:widowControl/>
              <w:numPr>
                <w:ilvl w:val="0"/>
                <w:numId w:val="9"/>
              </w:numPr>
              <w:suppressLineNumbers w:val="0"/>
              <w:overflowPunct w:val="0"/>
              <w:autoSpaceDE w:val="0"/>
              <w:autoSpaceDN w:val="0"/>
              <w:adjustRightInd w:val="0"/>
              <w:spacing w:beforeAutospacing="0" w:after="180" w:afterAutospacing="0" w:line="252" w:lineRule="auto"/>
              <w:ind w:right="0"/>
              <w:contextualSpacing/>
              <w:jc w:val="both"/>
              <w:textAlignment w:val="baseline"/>
              <w:rPr>
                <w:rFonts w:hint="eastAsia" w:ascii="Times New Roman" w:hAnsi="Times New Roman"/>
                <w:bCs/>
                <w:sz w:val="20"/>
                <w:szCs w:val="20"/>
                <w:lang w:val="en-US" w:eastAsia="zh-CN"/>
              </w:rPr>
            </w:pPr>
            <w:r>
              <w:rPr>
                <w:rFonts w:hint="eastAsia" w:ascii="Times New Roman" w:hAnsi="Times New Roman"/>
                <w:bCs/>
                <w:sz w:val="20"/>
                <w:szCs w:val="20"/>
                <w:lang w:val="en-US" w:eastAsia="zh-CN"/>
              </w:rPr>
              <w:t xml:space="preserve">For UE BB bandwidth reduction, the number of PRBs scheduled in DCI </w:t>
            </w:r>
            <w:r>
              <w:rPr>
                <w:rFonts w:hint="eastAsia" w:ascii="Times New Roman" w:hAnsi="Times New Roman"/>
                <w:b w:val="0"/>
                <w:bCs/>
                <w:sz w:val="20"/>
                <w:szCs w:val="20"/>
                <w:u w:val="none"/>
                <w:lang w:val="en-US" w:eastAsia="zh-CN"/>
              </w:rPr>
              <w:t>can be larger</w:t>
            </w:r>
            <w:r>
              <w:rPr>
                <w:rFonts w:hint="eastAsia" w:ascii="Times New Roman" w:hAnsi="Times New Roman"/>
                <w:bCs/>
                <w:sz w:val="20"/>
                <w:szCs w:val="20"/>
                <w:lang w:val="en-US" w:eastAsia="zh-CN"/>
              </w:rPr>
              <w:t xml:space="preserve"> than 25 PRBs for 15 kHz SCS and 12 PRBs for 30 kHz SCS for:</w:t>
            </w:r>
          </w:p>
          <w:p>
            <w:pPr>
              <w:keepNext w:val="0"/>
              <w:keepLines w:val="0"/>
              <w:widowControl/>
              <w:numPr>
                <w:ilvl w:val="1"/>
                <w:numId w:val="9"/>
              </w:numPr>
              <w:suppressLineNumbers w:val="0"/>
              <w:tabs>
                <w:tab w:val="left" w:pos="1545"/>
              </w:tabs>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eastAsia="Microsoft YaHei UI"/>
                <w:bCs/>
                <w:sz w:val="20"/>
                <w:szCs w:val="20"/>
                <w:lang w:val="en-US" w:eastAsia="zh-CN"/>
              </w:rPr>
            </w:pPr>
            <w:r>
              <w:rPr>
                <w:rFonts w:hint="eastAsia" w:ascii="Times New Roman" w:hAnsi="Times New Roman" w:eastAsia="Microsoft YaHei UI"/>
                <w:bCs/>
                <w:sz w:val="20"/>
                <w:szCs w:val="20"/>
                <w:lang w:val="en-US" w:eastAsia="zh-CN"/>
              </w:rPr>
              <w:t>Broadcast MBS PDSCH without any PDSCH in next slot</w:t>
            </w:r>
          </w:p>
          <w:p>
            <w:pPr>
              <w:keepNext w:val="0"/>
              <w:keepLines w:val="0"/>
              <w:widowControl/>
              <w:numPr>
                <w:ilvl w:val="1"/>
                <w:numId w:val="9"/>
              </w:numPr>
              <w:suppressLineNumbers w:val="0"/>
              <w:tabs>
                <w:tab w:val="left" w:pos="1545"/>
              </w:tabs>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eastAsia="Microsoft YaHei UI"/>
                <w:bCs/>
                <w:sz w:val="20"/>
                <w:szCs w:val="20"/>
                <w:lang w:val="en-US" w:eastAsia="zh-CN"/>
              </w:rPr>
            </w:pPr>
            <w:r>
              <w:rPr>
                <w:rFonts w:hint="eastAsia" w:ascii="Times New Roman" w:hAnsi="Times New Roman" w:eastAsia="Microsoft YaHei UI"/>
                <w:bCs/>
                <w:sz w:val="20"/>
                <w:szCs w:val="20"/>
                <w:lang w:val="en-US" w:eastAsia="zh-CN"/>
              </w:rPr>
              <w:t>Broadcast MBS PDSCH without MBS PDSCH repetition</w:t>
            </w:r>
          </w:p>
          <w:p>
            <w:pPr>
              <w:pStyle w:val="29"/>
              <w:keepNext w:val="0"/>
              <w:keepLines w:val="0"/>
              <w:widowControl/>
              <w:numPr>
                <w:ilvl w:val="-1"/>
                <w:numId w:val="0"/>
              </w:numPr>
              <w:suppressLineNumbers w:val="0"/>
              <w:overflowPunct w:val="0"/>
              <w:autoSpaceDE w:val="0"/>
              <w:autoSpaceDN w:val="0"/>
              <w:adjustRightInd w:val="0"/>
              <w:spacing w:before="0" w:beforeLines="0" w:beforeAutospacing="0" w:after="0" w:afterLines="0" w:afterAutospacing="0" w:line="360" w:lineRule="auto"/>
              <w:ind w:left="0" w:right="0" w:firstLine="0"/>
              <w:textAlignment w:val="baseline"/>
              <w:rPr>
                <w:rFonts w:hint="eastAsia"/>
                <w:sz w:val="20"/>
                <w:szCs w:val="20"/>
                <w:vertAlign w:val="baseline"/>
                <w:lang w:eastAsia="ja-JP"/>
              </w:rPr>
            </w:pPr>
          </w:p>
        </w:tc>
      </w:tr>
    </w:tbl>
    <w:p>
      <w:pPr>
        <w:spacing w:before="0" w:beforeLines="0" w:after="0" w:afterLines="50" w:line="360" w:lineRule="auto"/>
        <w:jc w:val="both"/>
        <w:rPr>
          <w:rFonts w:hint="eastAsia" w:ascii="Times New Roman" w:hAnsi="Times New Roman" w:cs="Times New Roman"/>
          <w:sz w:val="20"/>
          <w:szCs w:val="20"/>
          <w:lang w:val="en-US" w:eastAsia="ja-JP"/>
        </w:rPr>
      </w:pPr>
      <w:r>
        <w:rPr>
          <w:rFonts w:hint="eastAsia" w:ascii="Times New Roman" w:hAnsi="Times New Roman" w:cs="Times New Roman"/>
          <w:sz w:val="20"/>
          <w:szCs w:val="20"/>
          <w:lang w:val="en-US" w:eastAsia="ja-JP"/>
        </w:rPr>
        <w:t xml:space="preserve">In this contribution, some remaining issues </w:t>
      </w:r>
      <w:r>
        <w:rPr>
          <w:rFonts w:hint="eastAsia" w:cs="Times New Roman"/>
          <w:sz w:val="20"/>
          <w:szCs w:val="20"/>
          <w:lang w:val="en-US" w:eastAsia="zh-CN"/>
        </w:rPr>
        <w:t xml:space="preserve">to </w:t>
      </w:r>
      <w:r>
        <w:rPr>
          <w:rFonts w:hint="eastAsia" w:ascii="Times New Roman" w:hAnsi="Times New Roman" w:cs="Times New Roman"/>
          <w:sz w:val="20"/>
          <w:szCs w:val="20"/>
          <w:lang w:val="en-US" w:eastAsia="ja-JP"/>
        </w:rPr>
        <w:t>further reduce UE complexity will continue to be discussed.</w:t>
      </w:r>
    </w:p>
    <w:p>
      <w:pPr>
        <w:pStyle w:val="2"/>
        <w:spacing w:before="240" w:beforeLines="0" w:after="180" w:afterLines="0" w:line="240" w:lineRule="auto"/>
        <w:ind w:left="0" w:firstLine="0"/>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 xml:space="preserve">Discussion on </w:t>
      </w:r>
      <w:r>
        <w:rPr>
          <w:rFonts w:hint="default" w:ascii="Arial" w:hAnsi="Arial" w:eastAsia="宋体" w:cs="Arial"/>
          <w:b w:val="0"/>
          <w:bCs w:val="0"/>
          <w:kern w:val="32"/>
          <w:sz w:val="32"/>
          <w:szCs w:val="32"/>
          <w:lang w:val="en-US" w:eastAsia="zh-CN" w:bidi="ar-SA"/>
        </w:rPr>
        <w:t xml:space="preserve">further </w:t>
      </w:r>
      <w:r>
        <w:rPr>
          <w:rFonts w:ascii="Arial" w:hAnsi="Arial" w:eastAsia="宋体" w:cs="Arial"/>
          <w:b w:val="0"/>
          <w:bCs w:val="0"/>
          <w:kern w:val="32"/>
          <w:sz w:val="32"/>
          <w:szCs w:val="32"/>
          <w:lang w:val="en-US" w:eastAsia="zh-CN" w:bidi="ar-SA"/>
        </w:rPr>
        <w:t>UE complexity reduction features</w:t>
      </w:r>
    </w:p>
    <w:p>
      <w:pPr>
        <w:pStyle w:val="3"/>
        <w:spacing w:before="240" w:after="180" w:line="240" w:lineRule="auto"/>
        <w:ind w:left="573" w:hanging="573"/>
        <w:rPr>
          <w:rFonts w:hint="default"/>
          <w:b w:val="0"/>
          <w:bCs w:val="0"/>
          <w:lang w:val="en-US" w:eastAsia="zh-CN"/>
        </w:rPr>
      </w:pPr>
      <w:r>
        <w:rPr>
          <w:rFonts w:hint="default"/>
          <w:b w:val="0"/>
          <w:bCs w:val="0"/>
          <w:lang w:val="en-US" w:eastAsia="zh-CN"/>
        </w:rPr>
        <w:t>UE BB bandwidth reduction</w:t>
      </w:r>
    </w:p>
    <w:p>
      <w:pPr>
        <w:pStyle w:val="4"/>
        <w:spacing w:before="0" w:after="0" w:line="360" w:lineRule="auto"/>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MBS PDSCH bandwidth</w:t>
      </w:r>
    </w:p>
    <w:p>
      <w:pPr>
        <w:bidi w:val="0"/>
        <w:spacing w:before="0" w:beforeLines="-2147483648" w:after="0" w:afterLines="50" w:line="360" w:lineRule="auto"/>
        <w:jc w:val="both"/>
        <w:rPr>
          <w:rFonts w:hint="eastAsia"/>
          <w:bCs/>
          <w:lang w:val="en-US" w:eastAsia="zh-CN"/>
        </w:rPr>
      </w:pPr>
      <w:r>
        <w:rPr>
          <w:rFonts w:hint="eastAsia"/>
          <w:bCs/>
          <w:lang w:val="en-US" w:eastAsia="zh-CN"/>
        </w:rPr>
        <w:t>For Broadcast MBS PDSCH, the following agreement was reached in RAN1#114 meeting[1].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等线"/>
                <w:sz w:val="20"/>
                <w:szCs w:val="20"/>
                <w:highlight w:val="green"/>
                <w:lang w:eastAsia="zh-CN"/>
              </w:rPr>
            </w:pPr>
            <w:r>
              <w:rPr>
                <w:rFonts w:hint="eastAsia" w:eastAsia="等线"/>
                <w:sz w:val="20"/>
                <w:szCs w:val="20"/>
                <w:highlight w:val="green"/>
                <w:lang w:eastAsia="zh-CN"/>
              </w:rPr>
              <w:t>Agreement</w:t>
            </w:r>
          </w:p>
          <w:p>
            <w:pPr>
              <w:pStyle w:val="23"/>
              <w:keepNext w:val="0"/>
              <w:keepLines w:val="0"/>
              <w:widowControl/>
              <w:numPr>
                <w:ilvl w:val="0"/>
                <w:numId w:val="9"/>
              </w:numPr>
              <w:suppressLineNumbers w:val="0"/>
              <w:overflowPunct w:val="0"/>
              <w:autoSpaceDE w:val="0"/>
              <w:autoSpaceDN w:val="0"/>
              <w:adjustRightInd w:val="0"/>
              <w:spacing w:beforeAutospacing="0" w:after="180" w:afterAutospacing="0" w:line="252" w:lineRule="auto"/>
              <w:ind w:leftChars="0" w:right="0"/>
              <w:contextualSpacing/>
              <w:jc w:val="both"/>
              <w:textAlignment w:val="baseline"/>
              <w:rPr>
                <w:rFonts w:hint="eastAsia" w:ascii="Times New Roman" w:hAnsi="Times New Roman"/>
                <w:bCs/>
                <w:sz w:val="20"/>
                <w:szCs w:val="20"/>
                <w:lang w:val="en-US"/>
              </w:rPr>
            </w:pPr>
            <w:r>
              <w:rPr>
                <w:rFonts w:hint="eastAsia" w:ascii="Times New Roman" w:hAnsi="Times New Roman"/>
                <w:bCs/>
                <w:sz w:val="20"/>
                <w:szCs w:val="20"/>
                <w:lang w:val="en-US"/>
              </w:rPr>
              <w:t>For UE BB bandwidth reduction, the number of PRBs scheduled in DCI</w:t>
            </w:r>
            <w:r>
              <w:rPr>
                <w:rFonts w:hint="eastAsia" w:ascii="Times New Roman" w:hAnsi="Times New Roman"/>
                <w:bCs/>
                <w:color w:val="auto"/>
                <w:sz w:val="20"/>
                <w:szCs w:val="20"/>
                <w:u w:val="none"/>
                <w:lang w:val="en-US"/>
              </w:rPr>
              <w:t xml:space="preserve"> can be larger</w:t>
            </w:r>
            <w:r>
              <w:rPr>
                <w:rFonts w:hint="eastAsia" w:ascii="Times New Roman" w:hAnsi="Times New Roman"/>
                <w:bCs/>
                <w:sz w:val="20"/>
                <w:szCs w:val="20"/>
                <w:lang w:val="en-US"/>
              </w:rPr>
              <w:t xml:space="preserve"> than 25 PRBs for 15 kHz SCS and 12 PRBs for 30 kHz SCS for:</w:t>
            </w:r>
          </w:p>
          <w:p>
            <w:pPr>
              <w:pStyle w:val="23"/>
              <w:keepNext w:val="0"/>
              <w:keepLines w:val="0"/>
              <w:widowControl/>
              <w:numPr>
                <w:ilvl w:val="1"/>
                <w:numId w:val="9"/>
              </w:numPr>
              <w:suppressLineNumbers w:val="0"/>
              <w:tabs>
                <w:tab w:val="left" w:pos="1545"/>
              </w:tabs>
              <w:overflowPunct w:val="0"/>
              <w:autoSpaceDE w:val="0"/>
              <w:autoSpaceDN w:val="0"/>
              <w:adjustRightInd w:val="0"/>
              <w:spacing w:beforeAutospacing="0" w:after="180" w:afterAutospacing="0" w:line="252" w:lineRule="auto"/>
              <w:ind w:leftChars="0" w:right="0"/>
              <w:contextualSpacing/>
              <w:textAlignment w:val="baseline"/>
              <w:rPr>
                <w:rFonts w:hint="eastAsia" w:ascii="Times New Roman" w:hAnsi="Times New Roman" w:eastAsia="Microsoft YaHei UI"/>
                <w:bCs/>
                <w:sz w:val="20"/>
                <w:szCs w:val="20"/>
                <w:lang w:val="en-US" w:eastAsia="zh-CN"/>
              </w:rPr>
            </w:pPr>
            <w:r>
              <w:rPr>
                <w:rFonts w:hint="eastAsia" w:ascii="Times New Roman" w:hAnsi="Times New Roman" w:eastAsia="Microsoft YaHei UI"/>
                <w:bCs/>
                <w:sz w:val="20"/>
                <w:szCs w:val="20"/>
                <w:lang w:val="en-US" w:eastAsia="zh-CN"/>
              </w:rPr>
              <w:t>Broadcast MBS PDSCH without any PDSCH in next slot</w:t>
            </w:r>
          </w:p>
          <w:p>
            <w:pPr>
              <w:pStyle w:val="23"/>
              <w:keepNext w:val="0"/>
              <w:keepLines w:val="0"/>
              <w:widowControl/>
              <w:numPr>
                <w:ilvl w:val="1"/>
                <w:numId w:val="9"/>
              </w:numPr>
              <w:suppressLineNumbers w:val="0"/>
              <w:tabs>
                <w:tab w:val="left" w:pos="1545"/>
              </w:tabs>
              <w:overflowPunct w:val="0"/>
              <w:autoSpaceDE w:val="0"/>
              <w:autoSpaceDN w:val="0"/>
              <w:adjustRightInd w:val="0"/>
              <w:spacing w:beforeAutospacing="0" w:after="180" w:afterAutospacing="0" w:line="252" w:lineRule="auto"/>
              <w:ind w:leftChars="0" w:right="0"/>
              <w:contextualSpacing/>
              <w:textAlignment w:val="baseline"/>
              <w:rPr>
                <w:rFonts w:hint="eastAsia" w:ascii="Times New Roman" w:hAnsi="Times New Roman" w:eastAsia="Microsoft YaHei UI"/>
                <w:bCs/>
                <w:sz w:val="20"/>
                <w:szCs w:val="20"/>
                <w:lang w:val="en-US" w:eastAsia="zh-CN"/>
              </w:rPr>
            </w:pPr>
            <w:r>
              <w:rPr>
                <w:rFonts w:hint="eastAsia" w:ascii="Times New Roman" w:hAnsi="Times New Roman" w:eastAsia="Microsoft YaHei UI"/>
                <w:bCs/>
                <w:sz w:val="20"/>
                <w:szCs w:val="20"/>
                <w:lang w:val="en-US" w:eastAsia="zh-CN"/>
              </w:rPr>
              <w:t>Broadcast MBS PDSCH without MBS PDSCH repetition</w:t>
            </w:r>
          </w:p>
          <w:p>
            <w:pPr>
              <w:keepNext w:val="0"/>
              <w:keepLines w:val="0"/>
              <w:widowControl/>
              <w:suppressLineNumbers w:val="0"/>
              <w:overflowPunct w:val="0"/>
              <w:autoSpaceDE w:val="0"/>
              <w:autoSpaceDN w:val="0"/>
              <w:bidi w:val="0"/>
              <w:adjustRightInd w:val="0"/>
              <w:spacing w:before="0" w:beforeLines="-2147483648" w:beforeAutospacing="0" w:after="0" w:afterLines="50" w:afterAutospacing="0" w:line="360" w:lineRule="auto"/>
              <w:ind w:right="0"/>
              <w:jc w:val="both"/>
              <w:textAlignment w:val="baseline"/>
              <w:rPr>
                <w:rFonts w:hint="eastAsia"/>
                <w:bCs/>
                <w:sz w:val="20"/>
                <w:szCs w:val="20"/>
                <w:vertAlign w:val="baseline"/>
                <w:lang w:val="en-US" w:eastAsia="zh-CN"/>
              </w:rPr>
            </w:pPr>
          </w:p>
        </w:tc>
      </w:tr>
    </w:tbl>
    <w:p>
      <w:pPr>
        <w:bidi w:val="0"/>
        <w:spacing w:before="0" w:after="0" w:afterLines="50" w:line="360" w:lineRule="auto"/>
        <w:jc w:val="both"/>
        <w:rPr>
          <w:rFonts w:hint="eastAsia" w:eastAsia="宋体"/>
          <w:bCs w:val="0"/>
          <w:sz w:val="20"/>
          <w:szCs w:val="20"/>
          <w:lang w:val="en-US" w:eastAsia="zh-CN"/>
        </w:rPr>
      </w:pPr>
      <w:r>
        <w:rPr>
          <w:rFonts w:hint="eastAsia" w:eastAsia="宋体"/>
          <w:bCs w:val="0"/>
          <w:sz w:val="20"/>
          <w:szCs w:val="20"/>
          <w:lang w:val="en-US" w:eastAsia="zh-CN"/>
        </w:rPr>
        <w:t xml:space="preserve">But for multicast MBS PDSCH, there was no consensus in the last meeting. </w:t>
      </w:r>
    </w:p>
    <w:p>
      <w:pPr>
        <w:bidi w:val="0"/>
        <w:spacing w:before="0" w:after="0" w:afterLines="50" w:line="360" w:lineRule="auto"/>
        <w:jc w:val="both"/>
        <w:rPr>
          <w:rFonts w:hint="eastAsia"/>
          <w:lang w:val="en-US" w:eastAsia="zh-CN"/>
        </w:rPr>
      </w:pPr>
      <w:r>
        <w:rPr>
          <w:rFonts w:hint="eastAsia"/>
          <w:sz w:val="20"/>
          <w:szCs w:val="20"/>
          <w:lang w:val="en-US" w:eastAsia="zh-CN"/>
        </w:rPr>
        <w:t>Firstly, a</w:t>
      </w:r>
      <w:r>
        <w:rPr>
          <w:rFonts w:hint="eastAsia" w:eastAsia="宋体"/>
          <w:sz w:val="20"/>
          <w:szCs w:val="20"/>
          <w:lang w:val="en-US" w:eastAsia="zh-CN"/>
        </w:rPr>
        <w:t xml:space="preserve">ccording to the </w:t>
      </w:r>
      <w:r>
        <w:rPr>
          <w:rFonts w:hint="eastAsia"/>
          <w:sz w:val="20"/>
          <w:szCs w:val="20"/>
          <w:lang w:val="en-US" w:eastAsia="zh-CN"/>
        </w:rPr>
        <w:t>current</w:t>
      </w:r>
      <w:r>
        <w:rPr>
          <w:rFonts w:hint="eastAsia" w:eastAsia="宋体"/>
          <w:sz w:val="20"/>
          <w:szCs w:val="20"/>
          <w:lang w:val="en-US" w:eastAsia="zh-CN"/>
        </w:rPr>
        <w:t xml:space="preserve"> specification, multi</w:t>
      </w:r>
      <w:r>
        <w:rPr>
          <w:rFonts w:hint="eastAsia"/>
          <w:sz w:val="20"/>
          <w:szCs w:val="20"/>
          <w:lang w:val="en-US" w:eastAsia="zh-CN"/>
        </w:rPr>
        <w:t>cast</w:t>
      </w:r>
      <w:r>
        <w:rPr>
          <w:rFonts w:hint="eastAsia" w:eastAsia="宋体"/>
          <w:sz w:val="20"/>
          <w:szCs w:val="20"/>
          <w:lang w:val="en-US" w:eastAsia="zh-CN"/>
        </w:rPr>
        <w:t xml:space="preserve"> MBS PDSCH is related to the RRC</w:t>
      </w:r>
      <w:r>
        <w:rPr>
          <w:rFonts w:hint="eastAsia"/>
          <w:sz w:val="20"/>
          <w:szCs w:val="20"/>
          <w:lang w:val="en-US" w:eastAsia="zh-CN"/>
        </w:rPr>
        <w:t xml:space="preserve"> </w:t>
      </w:r>
      <w:r>
        <w:rPr>
          <w:rFonts w:hint="eastAsia" w:eastAsia="宋体"/>
          <w:sz w:val="20"/>
          <w:szCs w:val="20"/>
          <w:lang w:val="en-US" w:eastAsia="zh-CN"/>
        </w:rPr>
        <w:t>state</w:t>
      </w:r>
      <w:r>
        <w:rPr>
          <w:rFonts w:hint="eastAsia"/>
          <w:sz w:val="20"/>
          <w:szCs w:val="20"/>
          <w:lang w:val="en-US" w:eastAsia="zh-CN"/>
        </w:rPr>
        <w:t>s</w:t>
      </w:r>
      <w:r>
        <w:rPr>
          <w:rFonts w:hint="eastAsia" w:eastAsia="宋体"/>
          <w:sz w:val="20"/>
          <w:szCs w:val="20"/>
          <w:lang w:val="en-US" w:eastAsia="zh-CN"/>
        </w:rPr>
        <w:t xml:space="preserve">. Therefore, </w:t>
      </w:r>
      <w:r>
        <w:rPr>
          <w:rFonts w:hint="eastAsia"/>
          <w:sz w:val="20"/>
          <w:szCs w:val="20"/>
          <w:lang w:val="en-US" w:eastAsia="zh-CN"/>
        </w:rPr>
        <w:t>based on</w:t>
      </w:r>
      <w:r>
        <w:rPr>
          <w:rFonts w:hint="eastAsia" w:eastAsia="宋体"/>
          <w:sz w:val="20"/>
          <w:szCs w:val="20"/>
          <w:lang w:val="en-US" w:eastAsia="zh-CN"/>
        </w:rPr>
        <w:t xml:space="preserve"> the RRC states and HARQ feedback</w:t>
      </w:r>
      <w:r>
        <w:rPr>
          <w:rFonts w:hint="eastAsia"/>
          <w:sz w:val="20"/>
          <w:szCs w:val="20"/>
          <w:lang w:val="en-US" w:eastAsia="zh-CN"/>
        </w:rPr>
        <w:t>, t</w:t>
      </w:r>
      <w:r>
        <w:rPr>
          <w:rFonts w:hint="eastAsia" w:eastAsia="宋体"/>
          <w:sz w:val="20"/>
          <w:szCs w:val="20"/>
          <w:lang w:val="en-US" w:eastAsia="zh-CN"/>
        </w:rPr>
        <w:t>he multi</w:t>
      </w:r>
      <w:r>
        <w:rPr>
          <w:rFonts w:hint="eastAsia"/>
          <w:sz w:val="20"/>
          <w:szCs w:val="20"/>
          <w:lang w:val="en-US" w:eastAsia="zh-CN"/>
        </w:rPr>
        <w:t xml:space="preserve">cast MBS </w:t>
      </w:r>
      <w:r>
        <w:rPr>
          <w:rFonts w:hint="eastAsia" w:eastAsia="宋体"/>
          <w:sz w:val="20"/>
          <w:szCs w:val="20"/>
          <w:lang w:val="en-US" w:eastAsia="zh-CN"/>
        </w:rPr>
        <w:t xml:space="preserve">PDSCH </w:t>
      </w:r>
      <w:r>
        <w:rPr>
          <w:rFonts w:hint="eastAsia"/>
          <w:sz w:val="20"/>
          <w:szCs w:val="20"/>
          <w:lang w:val="en-US" w:eastAsia="zh-CN"/>
        </w:rPr>
        <w:t xml:space="preserve">can be classified </w:t>
      </w:r>
      <w:r>
        <w:rPr>
          <w:rFonts w:hint="eastAsia"/>
          <w:lang w:val="en-US" w:eastAsia="zh-CN"/>
        </w:rPr>
        <w:t xml:space="preserve">as follows: </w:t>
      </w:r>
    </w:p>
    <w:p>
      <w:pPr>
        <w:numPr>
          <w:ilvl w:val="0"/>
          <w:numId w:val="10"/>
        </w:numPr>
        <w:bidi w:val="0"/>
        <w:spacing w:before="0" w:after="0" w:afterLines="50" w:line="360" w:lineRule="auto"/>
        <w:ind w:left="420" w:hanging="420"/>
        <w:jc w:val="both"/>
        <w:rPr>
          <w:rFonts w:hint="eastAsia"/>
          <w:lang w:val="en-US" w:eastAsia="zh-CN"/>
        </w:rPr>
      </w:pPr>
      <w:r>
        <w:rPr>
          <w:rFonts w:hint="eastAsia"/>
          <w:lang w:val="en-US" w:eastAsia="zh-CN"/>
        </w:rPr>
        <w:t xml:space="preserve">Case 1: In the RRC INACTIVE state, multicast MBS PDSCH without HARQ feedback </w:t>
      </w:r>
    </w:p>
    <w:p>
      <w:pPr>
        <w:numPr>
          <w:ilvl w:val="0"/>
          <w:numId w:val="10"/>
        </w:numPr>
        <w:bidi w:val="0"/>
        <w:spacing w:before="0" w:after="0" w:afterLines="50" w:line="360" w:lineRule="auto"/>
        <w:ind w:left="420" w:hanging="420"/>
        <w:jc w:val="both"/>
        <w:rPr>
          <w:rFonts w:hint="eastAsia"/>
          <w:lang w:val="en-US" w:eastAsia="zh-CN"/>
        </w:rPr>
      </w:pPr>
      <w:r>
        <w:rPr>
          <w:rFonts w:hint="eastAsia"/>
          <w:lang w:val="en-US" w:eastAsia="zh-CN"/>
        </w:rPr>
        <w:t xml:space="preserve">Case 2: In the RRC CONNECTED state, multicast MBS PDSCH </w:t>
      </w:r>
    </w:p>
    <w:p>
      <w:pPr>
        <w:numPr>
          <w:ilvl w:val="0"/>
          <w:numId w:val="11"/>
        </w:numPr>
        <w:bidi w:val="0"/>
        <w:spacing w:before="0" w:after="0" w:afterLines="50" w:line="360" w:lineRule="auto"/>
        <w:ind w:left="840" w:hanging="420"/>
        <w:jc w:val="both"/>
        <w:rPr>
          <w:rFonts w:hint="eastAsia"/>
          <w:lang w:val="en-US" w:eastAsia="zh-CN"/>
        </w:rPr>
      </w:pPr>
      <w:r>
        <w:rPr>
          <w:rFonts w:hint="eastAsia"/>
          <w:lang w:val="en-US" w:eastAsia="zh-CN"/>
        </w:rPr>
        <w:t xml:space="preserve">Case 2a: In the RRC CONNECTED state, multicast MBS PDSCH without HARQ feedback </w:t>
      </w:r>
    </w:p>
    <w:p>
      <w:pPr>
        <w:numPr>
          <w:ilvl w:val="0"/>
          <w:numId w:val="11"/>
        </w:numPr>
        <w:bidi w:val="0"/>
        <w:spacing w:before="0" w:after="0" w:afterLines="50" w:line="360" w:lineRule="auto"/>
        <w:ind w:left="840" w:hanging="420"/>
        <w:jc w:val="both"/>
        <w:rPr>
          <w:rFonts w:hint="eastAsia"/>
          <w:lang w:val="en-US" w:eastAsia="zh-CN"/>
        </w:rPr>
      </w:pPr>
      <w:r>
        <w:rPr>
          <w:rFonts w:hint="eastAsia"/>
          <w:lang w:val="en-US" w:eastAsia="zh-CN"/>
        </w:rPr>
        <w:t xml:space="preserve">Case 2b: In the RRC CONNECTED state, multicast MBS PDSCH with HARQ feedback </w:t>
      </w:r>
    </w:p>
    <w:p>
      <w:pPr>
        <w:bidi w:val="0"/>
        <w:spacing w:before="0" w:after="0" w:afterLines="50" w:line="360" w:lineRule="auto"/>
        <w:jc w:val="both"/>
        <w:rPr>
          <w:rFonts w:hint="eastAsia"/>
          <w:lang w:val="en-US" w:eastAsia="zh-CN"/>
        </w:rPr>
      </w:pPr>
      <w:r>
        <w:rPr>
          <w:rFonts w:hint="eastAsia"/>
          <w:lang w:val="en-US" w:eastAsia="zh-CN"/>
        </w:rPr>
        <w:t>Secondly, for Case 1, due to the multicast MBS PDSCH does not support HARQ feedback, therefore, in the RRC INACTIVE state, f</w:t>
      </w:r>
      <w:r>
        <w:rPr>
          <w:rFonts w:hint="eastAsia" w:ascii="Times New Roman" w:hAnsi="Times New Roman"/>
          <w:bCs/>
          <w:sz w:val="20"/>
          <w:szCs w:val="20"/>
          <w:lang w:val="en-US"/>
        </w:rPr>
        <w:t xml:space="preserve">or UE BB bandwidth reduction, the number of PRBs scheduled in DCI </w:t>
      </w:r>
      <w:r>
        <w:rPr>
          <w:rFonts w:hint="eastAsia" w:ascii="Times New Roman" w:hAnsi="Times New Roman"/>
          <w:bCs/>
          <w:color w:val="auto"/>
          <w:sz w:val="20"/>
          <w:szCs w:val="20"/>
          <w:u w:val="none"/>
          <w:lang w:val="en-US"/>
        </w:rPr>
        <w:t>can be larger</w:t>
      </w:r>
      <w:r>
        <w:rPr>
          <w:rFonts w:hint="eastAsia" w:ascii="Times New Roman" w:hAnsi="Times New Roman"/>
          <w:bCs/>
          <w:sz w:val="20"/>
          <w:szCs w:val="20"/>
          <w:lang w:val="en-US"/>
        </w:rPr>
        <w:t xml:space="preserve"> than 25 PRBs for 15 kHz SCS and 12 PRBs for 30 kHz SCS </w:t>
      </w:r>
      <w:r>
        <w:rPr>
          <w:rFonts w:hint="eastAsia"/>
          <w:lang w:val="en-US" w:eastAsia="zh-CN"/>
        </w:rPr>
        <w:t xml:space="preserve">for multicast MBS PDSCH. </w:t>
      </w:r>
    </w:p>
    <w:p>
      <w:pPr>
        <w:bidi w:val="0"/>
        <w:spacing w:before="0" w:after="0" w:afterLines="50" w:line="360" w:lineRule="auto"/>
        <w:jc w:val="both"/>
        <w:rPr>
          <w:rFonts w:hint="eastAsia"/>
          <w:lang w:val="en-US" w:eastAsia="zh-CN"/>
        </w:rPr>
      </w:pPr>
      <w:r>
        <w:rPr>
          <w:rFonts w:hint="eastAsia"/>
          <w:lang w:val="en-US" w:eastAsia="zh-CN"/>
        </w:rPr>
        <w:t>Thirdly, for Case 2a, since there is no HARQ feedback timeline requirements, there is no HARQ feedback timeline requirement for the transmission of this type of multicast MBS PDSCH. Furthermore, in the RRC CONNECTED state, f</w:t>
      </w:r>
      <w:r>
        <w:rPr>
          <w:rFonts w:hint="eastAsia" w:ascii="Times New Roman" w:hAnsi="Times New Roman"/>
          <w:bCs/>
          <w:sz w:val="20"/>
          <w:szCs w:val="20"/>
          <w:lang w:val="en-US"/>
        </w:rPr>
        <w:t xml:space="preserve">or UE BB bandwidth reduction, the number of PRBs scheduled in DCI </w:t>
      </w:r>
      <w:r>
        <w:rPr>
          <w:rFonts w:hint="eastAsia" w:ascii="Times New Roman" w:hAnsi="Times New Roman"/>
          <w:bCs/>
          <w:sz w:val="20"/>
          <w:szCs w:val="20"/>
          <w:u w:val="none"/>
          <w:lang w:val="en-US"/>
        </w:rPr>
        <w:t>can be larger</w:t>
      </w:r>
      <w:r>
        <w:rPr>
          <w:rFonts w:hint="eastAsia" w:ascii="Times New Roman" w:hAnsi="Times New Roman"/>
          <w:bCs/>
          <w:sz w:val="20"/>
          <w:szCs w:val="20"/>
          <w:lang w:val="en-US"/>
        </w:rPr>
        <w:t xml:space="preserve"> than 25 PRBs for 15 kHz SCS and 12 PRBs for 30 kHz SCS </w:t>
      </w:r>
      <w:r>
        <w:rPr>
          <w:rFonts w:hint="eastAsia"/>
          <w:lang w:val="en-US" w:eastAsia="zh-CN"/>
        </w:rPr>
        <w:t>for multicast MBS PDSCH without HARQ feedback.</w:t>
      </w:r>
    </w:p>
    <w:p>
      <w:pPr>
        <w:bidi w:val="0"/>
        <w:spacing w:before="0" w:after="0" w:afterLines="50" w:line="360" w:lineRule="auto"/>
        <w:jc w:val="both"/>
        <w:rPr>
          <w:rFonts w:hint="eastAsia"/>
          <w:lang w:val="en-US" w:eastAsia="zh-CN"/>
        </w:rPr>
      </w:pPr>
      <w:r>
        <w:rPr>
          <w:rFonts w:hint="eastAsia"/>
          <w:lang w:val="en-US" w:eastAsia="zh-CN"/>
        </w:rPr>
        <w:t>Furthermore, for Case 2b, firstly, since the UE is in RRC CONNECTED, the gNB ought to know the UE type. Secondly, since the multicast MBS PDSCH is for the UE group, and the same UE group can contain both legacy UEs and RedCap UEs. To be more, due to legacy UEs, there are HARQ feedback timeline requirements. Therefore, in the RRC CONNECTED state, f</w:t>
      </w:r>
      <w:r>
        <w:rPr>
          <w:rFonts w:hint="eastAsia" w:ascii="Times New Roman" w:hAnsi="Times New Roman"/>
          <w:bCs/>
          <w:sz w:val="20"/>
          <w:szCs w:val="20"/>
          <w:lang w:val="en-US"/>
        </w:rPr>
        <w:t xml:space="preserve">or UE BB bandwidth reduction, the number of PRBs scheduled in DCI </w:t>
      </w:r>
      <w:r>
        <w:rPr>
          <w:rFonts w:hint="eastAsia" w:ascii="Times New Roman" w:hAnsi="Times New Roman"/>
          <w:bCs/>
          <w:sz w:val="20"/>
          <w:szCs w:val="20"/>
          <w:u w:val="none"/>
          <w:lang w:val="en-US"/>
        </w:rPr>
        <w:t xml:space="preserve">can </w:t>
      </w:r>
      <w:r>
        <w:rPr>
          <w:rFonts w:hint="eastAsia"/>
          <w:bCs/>
          <w:sz w:val="20"/>
          <w:szCs w:val="20"/>
          <w:u w:val="none"/>
          <w:lang w:val="en-US" w:eastAsia="zh-CN"/>
        </w:rPr>
        <w:t xml:space="preserve">not </w:t>
      </w:r>
      <w:r>
        <w:rPr>
          <w:rFonts w:hint="eastAsia" w:ascii="Times New Roman" w:hAnsi="Times New Roman"/>
          <w:bCs/>
          <w:sz w:val="20"/>
          <w:szCs w:val="20"/>
          <w:u w:val="none"/>
          <w:lang w:val="en-US"/>
        </w:rPr>
        <w:t xml:space="preserve">be </w:t>
      </w:r>
      <w:r>
        <w:rPr>
          <w:rFonts w:hint="eastAsia"/>
          <w:bCs/>
          <w:sz w:val="20"/>
          <w:szCs w:val="20"/>
          <w:u w:val="none"/>
          <w:lang w:val="en-US" w:eastAsia="zh-CN"/>
        </w:rPr>
        <w:t>greater</w:t>
      </w:r>
      <w:r>
        <w:rPr>
          <w:rFonts w:hint="eastAsia" w:ascii="Times New Roman" w:hAnsi="Times New Roman"/>
          <w:bCs/>
          <w:sz w:val="20"/>
          <w:szCs w:val="20"/>
          <w:u w:val="none"/>
          <w:lang w:val="en-US"/>
        </w:rPr>
        <w:t xml:space="preserve"> </w:t>
      </w:r>
      <w:r>
        <w:rPr>
          <w:rFonts w:hint="eastAsia" w:ascii="Times New Roman" w:hAnsi="Times New Roman"/>
          <w:bCs/>
          <w:sz w:val="20"/>
          <w:szCs w:val="20"/>
          <w:lang w:val="en-US"/>
        </w:rPr>
        <w:t xml:space="preserve">than 25 PRBs for 15 kHz SCS and 12 PRBs for 30 kHz SCS </w:t>
      </w:r>
      <w:r>
        <w:rPr>
          <w:rFonts w:hint="eastAsia"/>
          <w:lang w:val="en-US" w:eastAsia="zh-CN"/>
        </w:rPr>
        <w:t>for multicast MBS PDSCH with HARQ feedback.</w:t>
      </w:r>
    </w:p>
    <w:p>
      <w:pPr>
        <w:bidi w:val="0"/>
        <w:spacing w:before="0" w:after="0" w:afterLines="50" w:line="360" w:lineRule="auto"/>
        <w:jc w:val="both"/>
        <w:rPr>
          <w:rFonts w:hint="default"/>
          <w:lang w:val="en-US" w:eastAsia="zh-CN"/>
        </w:rPr>
      </w:pPr>
      <w:r>
        <w:rPr>
          <w:rFonts w:hint="default"/>
          <w:lang w:val="en-US" w:eastAsia="zh-CN"/>
        </w:rPr>
        <w:t>To sum up, we recommend:</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 xml:space="preserve">1  In the RRC INACTIVE state, for UE BB bandwidth reduction, the number of PRBs scheduled in DCI can be larger than 25 PRBs for 15 kHz SCS and 12 PRBs for 30 kHz SCS for multicast MBS PDSCH. </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2  In the RRC CONNECTED state, for UE BB bandwidth reduction, the number of PRBs scheduled in DCI can be larger than 25 PRBs for 15 kHz SCS and 12 PRBs for 30 kHz SCS for multicast MBS PDSCH without HARQ feedback.</w:t>
      </w:r>
    </w:p>
    <w:p>
      <w:pPr>
        <w:spacing w:before="60" w:beforeLines="0" w:after="60" w:afterLines="0" w:line="360" w:lineRule="auto"/>
        <w:jc w:val="both"/>
        <w:rPr>
          <w:rFonts w:hint="default" w:eastAsia="宋体"/>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3  In the RRC CONNECTED state, for UE BB bandwidth reduction, the number of PRBs scheduled in DCI can not be greater than 25 PRBs for 15 kHz SCS and 12 PRBs for 30 kHz SCS for multicast MBS PDSCH with HARQ feedback.</w:t>
      </w:r>
    </w:p>
    <w:p>
      <w:pPr>
        <w:pStyle w:val="4"/>
        <w:bidi w:val="0"/>
        <w:spacing w:before="0" w:after="0" w:line="360" w:lineRule="auto"/>
        <w:jc w:val="both"/>
        <w:rPr>
          <w:rFonts w:hint="default" w:ascii="Times New Roman" w:hAnsi="Times New Roman"/>
          <w:b w:val="0"/>
          <w:bCs w:val="0"/>
          <w:lang w:val="en-US" w:eastAsia="zh-CN"/>
        </w:rPr>
      </w:pPr>
      <w:r>
        <w:rPr>
          <w:rFonts w:hint="default" w:ascii="Times New Roman" w:hAnsi="Times New Roman"/>
          <w:b w:val="0"/>
          <w:bCs w:val="0"/>
          <w:lang w:val="en-US" w:eastAsia="zh-CN"/>
        </w:rPr>
        <w:t>Msg3 Hopping</w:t>
      </w:r>
    </w:p>
    <w:p>
      <w:pPr>
        <w:spacing w:before="0" w:after="0" w:afterLines="50" w:line="360" w:lineRule="auto"/>
        <w:jc w:val="both"/>
      </w:pPr>
      <w:r>
        <w:rPr>
          <w:rFonts w:hint="eastAsia"/>
          <w:lang w:val="en-US" w:eastAsia="zh-CN"/>
        </w:rPr>
        <w:t xml:space="preserve">According to TS 38.213, </w:t>
      </w:r>
      <w:r>
        <w:rPr>
          <w:rFonts w:eastAsia="Yu Mincho"/>
        </w:rPr>
        <w:t xml:space="preserve">the frequency resource allocation field </w:t>
      </w:r>
      <w:r>
        <w:rPr>
          <w:rFonts w:hint="eastAsia"/>
          <w:lang w:val="en-US" w:eastAsia="zh-CN"/>
        </w:rPr>
        <w:t xml:space="preserve">for Msg3 PUSCH </w:t>
      </w:r>
      <w:r>
        <w:rPr>
          <w:rFonts w:eastAsia="Yu Mincho"/>
        </w:rPr>
        <w:t>in MAC RAR is fixed to 14 bits.</w:t>
      </w:r>
      <w:r>
        <w:rPr>
          <w:rFonts w:hint="eastAsia"/>
          <w:lang w:val="en-US" w:eastAsia="zh-CN"/>
        </w:rPr>
        <w:t>, which is shown in the table 8.2-1 of TS 38.213.</w:t>
      </w:r>
    </w:p>
    <w:p>
      <w:pPr>
        <w:pStyle w:val="25"/>
        <w:rPr>
          <w:lang w:val="en-US"/>
        </w:rPr>
      </w:pPr>
      <w:r>
        <w:rPr>
          <w:lang w:val="en-US"/>
        </w:rPr>
        <w:t xml:space="preserve">Table </w:t>
      </w:r>
      <w:r>
        <w:rPr>
          <w:rFonts w:hint="eastAsia"/>
          <w:lang w:val="en-US" w:eastAsia="zh-CN"/>
        </w:rPr>
        <w:t>8.2-1</w:t>
      </w:r>
      <w:r>
        <w:rPr>
          <w:lang w:val="en-US"/>
        </w:rPr>
        <w:t>: Random Access Response Grant Content field size</w:t>
      </w:r>
    </w:p>
    <w:tbl>
      <w:tblPr>
        <w:tblStyle w:val="18"/>
        <w:tblW w:w="0" w:type="auto"/>
        <w:jc w:val="center"/>
        <w:tblLayout w:type="autofit"/>
        <w:tblCellMar>
          <w:top w:w="0" w:type="dxa"/>
          <w:left w:w="108" w:type="dxa"/>
          <w:bottom w:w="0" w:type="dxa"/>
          <w:right w:w="108" w:type="dxa"/>
        </w:tblCellMar>
      </w:tblPr>
      <w:tblGrid>
        <w:gridCol w:w="3358"/>
        <w:gridCol w:w="5060"/>
      </w:tblGrid>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26"/>
              <w:widowControl/>
              <w:suppressLineNumbers w:val="0"/>
              <w:spacing w:beforeAutospacing="0" w:afterAutospacing="0"/>
              <w:ind w:right="0"/>
              <w:rPr>
                <w:rFonts w:hint="eastAsia"/>
                <w:szCs w:val="20"/>
                <w:lang w:val="en-US"/>
              </w:rPr>
            </w:pPr>
            <w:r>
              <w:rPr>
                <w:rFonts w:hint="eastAsia"/>
                <w:szCs w:val="20"/>
                <w:lang w:val="en-US"/>
              </w:rPr>
              <w:t>RAR grant field</w:t>
            </w:r>
          </w:p>
        </w:tc>
        <w:tc>
          <w:tcPr>
            <w:tcW w:w="5060"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26"/>
              <w:widowControl/>
              <w:suppressLineNumbers w:val="0"/>
              <w:spacing w:beforeAutospacing="0" w:afterAutospacing="0"/>
              <w:ind w:right="0"/>
              <w:rPr>
                <w:rFonts w:hint="eastAsia"/>
                <w:szCs w:val="20"/>
                <w:lang w:val="en-US"/>
              </w:rPr>
            </w:pPr>
            <w:r>
              <w:rPr>
                <w:rFonts w:hint="eastAsia"/>
                <w:szCs w:val="20"/>
                <w:lang w:val="en-US"/>
              </w:rPr>
              <w:t>Number of bits</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noWrap w:val="0"/>
            <w:vAlign w:val="center"/>
          </w:tcPr>
          <w:p>
            <w:pPr>
              <w:pStyle w:val="27"/>
              <w:widowControl/>
              <w:suppressLineNumbers w:val="0"/>
              <w:spacing w:beforeAutospacing="0" w:afterAutospacing="0"/>
              <w:ind w:right="0"/>
              <w:jc w:val="left"/>
              <w:rPr>
                <w:rFonts w:hint="eastAsia"/>
                <w:color w:val="auto"/>
                <w:szCs w:val="20"/>
                <w:lang w:val="en-US"/>
              </w:rPr>
            </w:pPr>
            <w:r>
              <w:rPr>
                <w:rFonts w:hint="eastAsia"/>
                <w:color w:val="auto"/>
                <w:szCs w:val="20"/>
                <w:lang w:val="en-US"/>
              </w:rPr>
              <w:t>Frequency hopping flag</w:t>
            </w:r>
          </w:p>
        </w:tc>
        <w:tc>
          <w:tcPr>
            <w:tcW w:w="5060" w:type="dxa"/>
            <w:tcBorders>
              <w:top w:val="single" w:color="auto" w:sz="4" w:space="0"/>
              <w:left w:val="single" w:color="auto" w:sz="4" w:space="0"/>
              <w:bottom w:val="single" w:color="auto" w:sz="4" w:space="0"/>
              <w:right w:val="single" w:color="auto" w:sz="4" w:space="0"/>
            </w:tcBorders>
            <w:noWrap w:val="0"/>
            <w:vAlign w:val="center"/>
          </w:tcPr>
          <w:p>
            <w:pPr>
              <w:pStyle w:val="27"/>
              <w:widowControl/>
              <w:suppressLineNumbers w:val="0"/>
              <w:spacing w:beforeAutospacing="0" w:afterAutospacing="0"/>
              <w:ind w:right="0"/>
              <w:rPr>
                <w:rFonts w:hint="eastAsia"/>
                <w:color w:val="auto"/>
                <w:szCs w:val="20"/>
                <w:lang w:val="en-US"/>
              </w:rPr>
            </w:pPr>
            <w:r>
              <w:rPr>
                <w:rFonts w:hint="eastAsia"/>
                <w:color w:val="auto"/>
                <w:szCs w:val="20"/>
                <w:lang w:val="en-US"/>
              </w:rPr>
              <w:t>1</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noWrap w:val="0"/>
            <w:vAlign w:val="center"/>
          </w:tcPr>
          <w:p>
            <w:pPr>
              <w:pStyle w:val="27"/>
              <w:widowControl/>
              <w:suppressLineNumbers w:val="0"/>
              <w:spacing w:beforeAutospacing="0" w:afterAutospacing="0"/>
              <w:ind w:right="0"/>
              <w:jc w:val="left"/>
              <w:rPr>
                <w:rFonts w:hint="eastAsia"/>
                <w:color w:val="auto"/>
                <w:szCs w:val="20"/>
                <w:lang w:val="en-US"/>
              </w:rPr>
            </w:pPr>
            <w:r>
              <w:rPr>
                <w:rFonts w:hint="eastAsia"/>
                <w:color w:val="auto"/>
                <w:szCs w:val="20"/>
                <w:lang w:val="en-US"/>
              </w:rPr>
              <w:t>PUSCH frequency resource allocation</w:t>
            </w:r>
          </w:p>
        </w:tc>
        <w:tc>
          <w:tcPr>
            <w:tcW w:w="5060" w:type="dxa"/>
            <w:tcBorders>
              <w:top w:val="single" w:color="auto" w:sz="4" w:space="0"/>
              <w:left w:val="single" w:color="auto" w:sz="4" w:space="0"/>
              <w:bottom w:val="single" w:color="auto" w:sz="4" w:space="0"/>
              <w:right w:val="single" w:color="auto" w:sz="4" w:space="0"/>
            </w:tcBorders>
            <w:noWrap w:val="0"/>
            <w:vAlign w:val="center"/>
          </w:tcPr>
          <w:p>
            <w:pPr>
              <w:pStyle w:val="27"/>
              <w:widowControl/>
              <w:suppressLineNumbers w:val="0"/>
              <w:spacing w:beforeAutospacing="0" w:afterAutospacing="0"/>
              <w:ind w:right="0"/>
              <w:rPr>
                <w:rFonts w:hint="eastAsia"/>
                <w:color w:val="auto"/>
                <w:szCs w:val="20"/>
                <w:lang w:val="en-US"/>
              </w:rPr>
            </w:pPr>
            <w:r>
              <w:rPr>
                <w:rFonts w:hint="eastAsia"/>
                <w:color w:val="auto"/>
                <w:szCs w:val="20"/>
                <w:lang w:val="en-US"/>
              </w:rPr>
              <w:t>12, for operation with shared spectrum channel access in FR1 or for FR2-2 when ChannelAccessMode2-r17 is provided</w:t>
            </w:r>
          </w:p>
          <w:p>
            <w:pPr>
              <w:pStyle w:val="27"/>
              <w:widowControl/>
              <w:suppressLineNumbers w:val="0"/>
              <w:spacing w:beforeAutospacing="0" w:afterAutospacing="0"/>
              <w:ind w:right="0"/>
              <w:rPr>
                <w:rFonts w:hint="eastAsia"/>
                <w:color w:val="auto"/>
                <w:szCs w:val="20"/>
                <w:lang w:val="en-US"/>
              </w:rPr>
            </w:pPr>
            <w:r>
              <w:rPr>
                <w:rFonts w:hint="eastAsia"/>
                <w:color w:val="auto"/>
                <w:szCs w:val="20"/>
                <w:lang w:val="en-US"/>
              </w:rPr>
              <w:t>14, otherwise</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noWrap w:val="0"/>
            <w:vAlign w:val="center"/>
          </w:tcPr>
          <w:p>
            <w:pPr>
              <w:pStyle w:val="27"/>
              <w:widowControl/>
              <w:suppressLineNumbers w:val="0"/>
              <w:spacing w:beforeAutospacing="0" w:afterAutospacing="0"/>
              <w:ind w:right="0"/>
              <w:jc w:val="left"/>
              <w:rPr>
                <w:rFonts w:hint="eastAsia"/>
                <w:szCs w:val="20"/>
                <w:lang w:val="en-US"/>
              </w:rPr>
            </w:pPr>
            <w:r>
              <w:rPr>
                <w:rFonts w:hint="eastAsia"/>
                <w:szCs w:val="20"/>
                <w:lang w:val="en-US"/>
              </w:rPr>
              <w:t>PUSCH time resource allocation</w:t>
            </w:r>
          </w:p>
        </w:tc>
        <w:tc>
          <w:tcPr>
            <w:tcW w:w="5060" w:type="dxa"/>
            <w:tcBorders>
              <w:top w:val="single" w:color="auto" w:sz="4" w:space="0"/>
              <w:left w:val="single" w:color="auto" w:sz="4" w:space="0"/>
              <w:bottom w:val="single" w:color="auto" w:sz="4" w:space="0"/>
              <w:right w:val="single" w:color="auto" w:sz="4" w:space="0"/>
            </w:tcBorders>
            <w:noWrap w:val="0"/>
            <w:vAlign w:val="center"/>
          </w:tcPr>
          <w:p>
            <w:pPr>
              <w:pStyle w:val="27"/>
              <w:widowControl/>
              <w:suppressLineNumbers w:val="0"/>
              <w:spacing w:beforeAutospacing="0" w:afterAutospacing="0"/>
              <w:ind w:right="0"/>
              <w:rPr>
                <w:rFonts w:hint="eastAsia"/>
                <w:szCs w:val="20"/>
                <w:lang w:val="en-US"/>
              </w:rPr>
            </w:pPr>
            <w:r>
              <w:rPr>
                <w:rFonts w:hint="eastAsia"/>
                <w:szCs w:val="20"/>
                <w:lang w:val="en-US"/>
              </w:rPr>
              <w:t>4</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noWrap w:val="0"/>
            <w:vAlign w:val="center"/>
          </w:tcPr>
          <w:p>
            <w:pPr>
              <w:pStyle w:val="27"/>
              <w:widowControl/>
              <w:suppressLineNumbers w:val="0"/>
              <w:spacing w:beforeAutospacing="0" w:afterAutospacing="0"/>
              <w:ind w:right="0"/>
              <w:jc w:val="left"/>
              <w:rPr>
                <w:rFonts w:hint="eastAsia"/>
                <w:szCs w:val="20"/>
                <w:lang w:val="en-US"/>
              </w:rPr>
            </w:pPr>
            <w:r>
              <w:rPr>
                <w:rFonts w:hint="eastAsia"/>
                <w:szCs w:val="20"/>
                <w:lang w:val="en-US"/>
              </w:rPr>
              <w:t>MCS</w:t>
            </w:r>
          </w:p>
        </w:tc>
        <w:tc>
          <w:tcPr>
            <w:tcW w:w="5060" w:type="dxa"/>
            <w:tcBorders>
              <w:top w:val="single" w:color="auto" w:sz="4" w:space="0"/>
              <w:left w:val="single" w:color="auto" w:sz="4" w:space="0"/>
              <w:bottom w:val="single" w:color="auto" w:sz="4" w:space="0"/>
              <w:right w:val="single" w:color="auto" w:sz="4" w:space="0"/>
            </w:tcBorders>
            <w:noWrap w:val="0"/>
            <w:vAlign w:val="center"/>
          </w:tcPr>
          <w:p>
            <w:pPr>
              <w:pStyle w:val="27"/>
              <w:widowControl/>
              <w:suppressLineNumbers w:val="0"/>
              <w:spacing w:beforeAutospacing="0" w:afterAutospacing="0"/>
              <w:ind w:right="0"/>
              <w:rPr>
                <w:rFonts w:hint="eastAsia"/>
                <w:szCs w:val="20"/>
                <w:lang w:val="en-US"/>
              </w:rPr>
            </w:pPr>
            <w:r>
              <w:rPr>
                <w:rFonts w:hint="eastAsia"/>
                <w:szCs w:val="20"/>
                <w:lang w:val="en-US"/>
              </w:rPr>
              <w:t>4</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noWrap w:val="0"/>
            <w:vAlign w:val="center"/>
          </w:tcPr>
          <w:p>
            <w:pPr>
              <w:pStyle w:val="27"/>
              <w:widowControl/>
              <w:suppressLineNumbers w:val="0"/>
              <w:spacing w:beforeAutospacing="0" w:afterAutospacing="0"/>
              <w:ind w:right="0"/>
              <w:jc w:val="left"/>
              <w:rPr>
                <w:rFonts w:hint="eastAsia"/>
                <w:szCs w:val="20"/>
                <w:lang w:val="en-US"/>
              </w:rPr>
            </w:pPr>
            <w:r>
              <w:rPr>
                <w:rFonts w:hint="eastAsia"/>
                <w:szCs w:val="20"/>
                <w:lang w:val="en-US"/>
              </w:rPr>
              <w:t>TPC command for PUSCH</w:t>
            </w:r>
          </w:p>
        </w:tc>
        <w:tc>
          <w:tcPr>
            <w:tcW w:w="5060" w:type="dxa"/>
            <w:tcBorders>
              <w:top w:val="single" w:color="auto" w:sz="4" w:space="0"/>
              <w:left w:val="single" w:color="auto" w:sz="4" w:space="0"/>
              <w:bottom w:val="single" w:color="auto" w:sz="4" w:space="0"/>
              <w:right w:val="single" w:color="auto" w:sz="4" w:space="0"/>
            </w:tcBorders>
            <w:noWrap w:val="0"/>
            <w:vAlign w:val="center"/>
          </w:tcPr>
          <w:p>
            <w:pPr>
              <w:pStyle w:val="27"/>
              <w:widowControl/>
              <w:suppressLineNumbers w:val="0"/>
              <w:spacing w:beforeAutospacing="0" w:afterAutospacing="0"/>
              <w:ind w:right="0"/>
              <w:rPr>
                <w:rFonts w:hint="eastAsia"/>
                <w:szCs w:val="20"/>
                <w:lang w:val="en-US"/>
              </w:rPr>
            </w:pPr>
            <w:r>
              <w:rPr>
                <w:rFonts w:hint="eastAsia"/>
                <w:szCs w:val="20"/>
                <w:lang w:val="en-US"/>
              </w:rPr>
              <w:t>3</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noWrap w:val="0"/>
            <w:vAlign w:val="center"/>
          </w:tcPr>
          <w:p>
            <w:pPr>
              <w:pStyle w:val="27"/>
              <w:widowControl/>
              <w:suppressLineNumbers w:val="0"/>
              <w:spacing w:beforeAutospacing="0" w:afterAutospacing="0"/>
              <w:ind w:right="0"/>
              <w:jc w:val="left"/>
              <w:rPr>
                <w:rFonts w:hint="eastAsia"/>
                <w:szCs w:val="20"/>
                <w:lang w:val="en-US"/>
              </w:rPr>
            </w:pPr>
            <w:r>
              <w:rPr>
                <w:rFonts w:hint="eastAsia"/>
                <w:szCs w:val="20"/>
                <w:lang w:val="en-US"/>
              </w:rPr>
              <w:t>CSI request</w:t>
            </w:r>
          </w:p>
        </w:tc>
        <w:tc>
          <w:tcPr>
            <w:tcW w:w="5060" w:type="dxa"/>
            <w:tcBorders>
              <w:top w:val="single" w:color="auto" w:sz="4" w:space="0"/>
              <w:left w:val="single" w:color="auto" w:sz="4" w:space="0"/>
              <w:bottom w:val="single" w:color="auto" w:sz="4" w:space="0"/>
              <w:right w:val="single" w:color="auto" w:sz="4" w:space="0"/>
            </w:tcBorders>
            <w:noWrap w:val="0"/>
            <w:vAlign w:val="center"/>
          </w:tcPr>
          <w:p>
            <w:pPr>
              <w:pStyle w:val="27"/>
              <w:widowControl/>
              <w:suppressLineNumbers w:val="0"/>
              <w:spacing w:beforeAutospacing="0" w:afterAutospacing="0"/>
              <w:ind w:right="0"/>
              <w:rPr>
                <w:rFonts w:hint="eastAsia"/>
                <w:szCs w:val="20"/>
                <w:lang w:val="en-US"/>
              </w:rPr>
            </w:pPr>
            <w:r>
              <w:rPr>
                <w:rFonts w:hint="eastAsia"/>
                <w:szCs w:val="20"/>
                <w:lang w:val="en-US"/>
              </w:rPr>
              <w:t>1</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noWrap w:val="0"/>
            <w:vAlign w:val="center"/>
          </w:tcPr>
          <w:p>
            <w:pPr>
              <w:pStyle w:val="27"/>
              <w:widowControl/>
              <w:suppressLineNumbers w:val="0"/>
              <w:spacing w:beforeAutospacing="0" w:afterAutospacing="0"/>
              <w:ind w:right="0"/>
              <w:jc w:val="left"/>
              <w:rPr>
                <w:rFonts w:hint="eastAsia"/>
                <w:szCs w:val="20"/>
                <w:lang w:val="en-US"/>
              </w:rPr>
            </w:pPr>
            <w:r>
              <w:rPr>
                <w:rFonts w:hint="eastAsia" w:eastAsia="宋体"/>
                <w:szCs w:val="20"/>
                <w:lang w:val="en-US" w:eastAsia="zh-CN"/>
              </w:rPr>
              <w:t>ChannelAccess-CPext</w:t>
            </w:r>
          </w:p>
        </w:tc>
        <w:tc>
          <w:tcPr>
            <w:tcW w:w="5060" w:type="dxa"/>
            <w:tcBorders>
              <w:top w:val="single" w:color="auto" w:sz="4" w:space="0"/>
              <w:left w:val="single" w:color="auto" w:sz="4" w:space="0"/>
              <w:bottom w:val="single" w:color="auto" w:sz="4" w:space="0"/>
              <w:right w:val="single" w:color="auto" w:sz="4" w:space="0"/>
            </w:tcBorders>
            <w:noWrap w:val="0"/>
            <w:vAlign w:val="center"/>
          </w:tcPr>
          <w:p>
            <w:pPr>
              <w:pStyle w:val="27"/>
              <w:widowControl/>
              <w:suppressLineNumbers w:val="0"/>
              <w:spacing w:beforeAutospacing="0" w:afterAutospacing="0"/>
              <w:ind w:right="0"/>
              <w:rPr>
                <w:rFonts w:hint="eastAsia"/>
                <w:szCs w:val="20"/>
                <w:lang w:val="en-US"/>
              </w:rPr>
            </w:pPr>
            <w:r>
              <w:rPr>
                <w:rFonts w:hint="eastAsia"/>
                <w:szCs w:val="20"/>
                <w:lang w:val="en-US"/>
              </w:rPr>
              <w:t>2, for operation with shared spectrum channel access in FR1 or for FR2-2 when ChannelAccessMode2-r17 is provided</w:t>
            </w:r>
          </w:p>
          <w:p>
            <w:pPr>
              <w:pStyle w:val="27"/>
              <w:widowControl/>
              <w:suppressLineNumbers w:val="0"/>
              <w:spacing w:beforeAutospacing="0" w:afterAutospacing="0"/>
              <w:ind w:right="0"/>
              <w:rPr>
                <w:rFonts w:hint="eastAsia"/>
                <w:szCs w:val="20"/>
                <w:lang w:val="en-US"/>
              </w:rPr>
            </w:pPr>
            <w:r>
              <w:rPr>
                <w:rFonts w:hint="eastAsia"/>
                <w:szCs w:val="20"/>
                <w:lang w:val="en-US"/>
              </w:rPr>
              <w:t>0, otherwise</w:t>
            </w:r>
          </w:p>
        </w:tc>
      </w:tr>
    </w:tbl>
    <w:p>
      <w:pPr>
        <w:spacing w:before="0" w:after="0" w:afterLines="50" w:line="360" w:lineRule="auto"/>
        <w:jc w:val="both"/>
        <w:rPr>
          <w:rFonts w:hint="default" w:eastAsia="宋体"/>
          <w:b w:val="0"/>
          <w:bCs/>
          <w:lang w:val="en-US" w:eastAsia="zh-CN"/>
        </w:rPr>
      </w:pPr>
      <w:r>
        <w:rPr>
          <w:rFonts w:hint="eastAsia"/>
          <w:lang w:val="en-US" w:eastAsia="zh-CN"/>
        </w:rPr>
        <w:t>Specifically, according to TS 38.213</w:t>
      </w:r>
      <w:r>
        <w:rPr>
          <w:rFonts w:eastAsia="Yu Mincho"/>
        </w:rPr>
        <w:t>,</w:t>
      </w:r>
      <w:r>
        <w:t xml:space="preserve"> </w:t>
      </w:r>
      <w:r>
        <w:rPr>
          <w:rFonts w:hint="eastAsia"/>
          <w:lang w:val="en-US" w:eastAsia="zh-CN"/>
        </w:rPr>
        <w:t>if the R18</w:t>
      </w:r>
      <w:r>
        <w:rPr>
          <w:rFonts w:eastAsia="Yu Mincho"/>
        </w:rPr>
        <w:t xml:space="preserve"> </w:t>
      </w:r>
      <w:r>
        <w:rPr>
          <w:rFonts w:hint="eastAsia"/>
          <w:lang w:val="en-US" w:eastAsia="zh-CN"/>
        </w:rPr>
        <w:t xml:space="preserve">eRedcap UE supports hopping, one or two bits in the </w:t>
      </w:r>
      <w:r>
        <w:rPr>
          <w:rFonts w:eastAsia="Yu Mincho"/>
        </w:rPr>
        <w:t>frequency resource allocation field</w:t>
      </w:r>
      <w:r>
        <w:rPr>
          <w:rFonts w:hint="eastAsia"/>
          <w:lang w:val="en-US" w:eastAsia="zh-CN"/>
        </w:rPr>
        <w:t xml:space="preserve"> will be used to </w:t>
      </w:r>
      <w:r>
        <w:t>indicate the frequency offset</w:t>
      </w:r>
      <w:r>
        <w:rPr>
          <w:rFonts w:hint="eastAsia"/>
          <w:lang w:val="en-US" w:eastAsia="zh-CN"/>
        </w:rPr>
        <w:t xml:space="preserve"> </w:t>
      </w:r>
      <w:r>
        <w:rPr>
          <w:rFonts w:ascii="Times New Roman" w:hAnsi="Times New Roman"/>
          <w:b w:val="0"/>
          <w:sz w:val="20"/>
          <w:szCs w:val="20"/>
        </w:rPr>
        <w:t>for</w:t>
      </w:r>
      <w:r>
        <w:rPr>
          <w:rFonts w:ascii="Arial" w:hAnsi="Arial"/>
          <w:b w:val="0"/>
          <w:bCs/>
          <w:sz w:val="18"/>
          <w:szCs w:val="20"/>
        </w:rPr>
        <w:t xml:space="preserve"> 2</w:t>
      </w:r>
      <w:r>
        <w:rPr>
          <w:rFonts w:ascii="Arial" w:hAnsi="Arial"/>
          <w:b w:val="0"/>
          <w:bCs/>
          <w:sz w:val="18"/>
          <w:szCs w:val="20"/>
          <w:vertAlign w:val="superscript"/>
        </w:rPr>
        <w:t>nd</w:t>
      </w:r>
      <w:r>
        <w:rPr>
          <w:rFonts w:ascii="Arial" w:hAnsi="Arial"/>
          <w:b w:val="0"/>
          <w:bCs/>
          <w:sz w:val="18"/>
          <w:szCs w:val="20"/>
        </w:rPr>
        <w:t xml:space="preserve"> </w:t>
      </w:r>
      <w:r>
        <w:rPr>
          <w:rFonts w:ascii="Times New Roman" w:hAnsi="Times New Roman"/>
          <w:b w:val="0"/>
          <w:sz w:val="20"/>
          <w:szCs w:val="20"/>
        </w:rPr>
        <w:t>hop</w:t>
      </w:r>
      <w:r>
        <w:rPr>
          <w:rFonts w:hint="eastAsia"/>
          <w:b w:val="0"/>
          <w:sz w:val="20"/>
          <w:szCs w:val="20"/>
          <w:lang w:val="en-US" w:eastAsia="zh-CN"/>
        </w:rPr>
        <w:t xml:space="preserve">, which is shown in the table 8.3-1 </w:t>
      </w:r>
      <w:r>
        <w:rPr>
          <w:rFonts w:hint="eastAsia"/>
          <w:lang w:val="en-US" w:eastAsia="zh-CN"/>
        </w:rPr>
        <w:t>of TS 38.213</w:t>
      </w:r>
      <w:r>
        <w:rPr>
          <w:rFonts w:hint="eastAsia"/>
          <w:b w:val="0"/>
          <w:sz w:val="20"/>
          <w:szCs w:val="20"/>
          <w:lang w:val="en-US" w:eastAsia="zh-CN"/>
        </w:rPr>
        <w:t>.</w:t>
      </w:r>
    </w:p>
    <w:p>
      <w:pPr>
        <w:keepNext/>
        <w:keepLines/>
        <w:autoSpaceDE/>
        <w:autoSpaceDN/>
        <w:adjustRightInd/>
        <w:snapToGrid/>
        <w:spacing w:before="60" w:after="180"/>
        <w:jc w:val="center"/>
        <w:rPr>
          <w:rFonts w:ascii="Arial" w:hAnsi="Arial"/>
          <w:b/>
          <w:sz w:val="20"/>
          <w:szCs w:val="20"/>
        </w:rPr>
      </w:pPr>
      <w:r>
        <w:rPr>
          <w:rFonts w:ascii="Arial" w:hAnsi="Arial"/>
          <w:b/>
          <w:sz w:val="20"/>
          <w:szCs w:val="20"/>
        </w:rPr>
        <w:t xml:space="preserve">Table </w:t>
      </w:r>
      <w:r>
        <w:rPr>
          <w:rFonts w:hint="eastAsia" w:ascii="Arial" w:hAnsi="Arial"/>
          <w:b/>
          <w:sz w:val="20"/>
          <w:szCs w:val="20"/>
          <w:lang w:val="en-US" w:eastAsia="zh-CN"/>
        </w:rPr>
        <w:t>8.3-1</w:t>
      </w:r>
      <w:r>
        <w:rPr>
          <w:rFonts w:ascii="Arial" w:hAnsi="Arial"/>
          <w:b/>
          <w:sz w:val="20"/>
          <w:szCs w:val="20"/>
        </w:rPr>
        <w:t>: Frequency offset for second hop of PUSCH transmission with frequency hopping scheduled by RAR UL grant or of Msg3 PUSCH retransmission</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7"/>
        <w:gridCol w:w="2778"/>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center"/>
          </w:tcPr>
          <w:p>
            <w:pPr>
              <w:keepNext/>
              <w:keepLines/>
              <w:widowControl/>
              <w:suppressLineNumbers w:val="0"/>
              <w:autoSpaceDE/>
              <w:autoSpaceDN/>
              <w:adjustRightInd/>
              <w:snapToGrid/>
              <w:spacing w:beforeAutospacing="0" w:after="0" w:afterAutospacing="0"/>
              <w:ind w:right="0"/>
              <w:jc w:val="center"/>
              <w:rPr>
                <w:rFonts w:hint="eastAsia" w:ascii="Arial" w:hAnsi="Arial"/>
                <w:b/>
                <w:sz w:val="18"/>
                <w:szCs w:val="20"/>
              </w:rPr>
            </w:pPr>
            <w:bookmarkStart w:id="5" w:name="MCCQCTEMPBM_00000084"/>
            <w:r>
              <w:rPr>
                <w:rFonts w:hint="eastAsia" w:ascii="Arial" w:hAnsi="Arial"/>
                <w:b/>
                <w:bCs/>
                <w:sz w:val="18"/>
                <w:szCs w:val="20"/>
              </w:rPr>
              <w:t>Number of PRBs in initial UL BWP</w:t>
            </w:r>
          </w:p>
        </w:tc>
        <w:tc>
          <w:tcPr>
            <w:tcW w:w="0" w:type="auto"/>
            <w:shd w:val="clear" w:color="auto" w:fill="E0E0E0"/>
            <w:noWrap w:val="0"/>
            <w:vAlign w:val="center"/>
          </w:tcPr>
          <w:p>
            <w:pPr>
              <w:keepNext/>
              <w:keepLines/>
              <w:widowControl/>
              <w:suppressLineNumbers w:val="0"/>
              <w:autoSpaceDE/>
              <w:autoSpaceDN/>
              <w:adjustRightInd/>
              <w:snapToGrid/>
              <w:spacing w:beforeAutospacing="0" w:after="0" w:afterAutospacing="0"/>
              <w:ind w:right="0"/>
              <w:jc w:val="center"/>
              <w:rPr>
                <w:rFonts w:hint="eastAsia" w:ascii="Arial" w:hAnsi="Arial"/>
                <w:b/>
                <w:sz w:val="18"/>
                <w:szCs w:val="18"/>
              </w:rPr>
            </w:pPr>
            <w:r>
              <w:rPr>
                <w:rFonts w:hint="eastAsia" w:ascii="Arial" w:hAnsi="Arial"/>
                <w:b/>
                <w:sz w:val="18"/>
                <w:szCs w:val="20"/>
              </w:rPr>
              <w:t xml:space="preserve">Value of </w:t>
            </w:r>
            <m:oMath>
              <m:sSub>
                <m:sSubPr>
                  <m:ctrlPr>
                    <w:rPr>
                      <w:rFonts w:hint="default" w:ascii="Cambria Math" w:hAnsi="Cambria Math" w:eastAsia="MS Mincho"/>
                      <w:i/>
                      <w:kern w:val="2"/>
                      <w:sz w:val="20"/>
                      <w:szCs w:val="20"/>
                    </w:rPr>
                  </m:ctrlPr>
                </m:sSubPr>
                <m:e>
                  <m:r>
                    <m:rPr>
                      <m:sty m:val="bi"/>
                    </m:rPr>
                    <w:rPr>
                      <w:rFonts w:hint="default" w:ascii="Cambria Math" w:hAnsi="Cambria Math" w:eastAsia="MS Mincho"/>
                      <w:kern w:val="2"/>
                      <w:sz w:val="18"/>
                      <w:szCs w:val="20"/>
                    </w:rPr>
                    <m:t>N</m:t>
                  </m:r>
                  <m:ctrlPr>
                    <w:rPr>
                      <w:rFonts w:hint="default" w:ascii="Cambria Math" w:hAnsi="Cambria Math" w:eastAsia="MS Mincho"/>
                      <w:i/>
                      <w:kern w:val="2"/>
                      <w:sz w:val="20"/>
                      <w:szCs w:val="20"/>
                    </w:rPr>
                  </m:ctrlPr>
                </m:e>
                <m:sub>
                  <m:r>
                    <m:rPr>
                      <m:sty m:val="b"/>
                    </m:rPr>
                    <w:rPr>
                      <w:rFonts w:hint="default" w:ascii="Cambria Math" w:hAnsi="Cambria Math" w:eastAsia="MS Mincho"/>
                      <w:kern w:val="2"/>
                      <w:sz w:val="18"/>
                      <w:szCs w:val="20"/>
                    </w:rPr>
                    <m:t>UL,hop</m:t>
                  </m:r>
                  <m:ctrlPr>
                    <w:rPr>
                      <w:rFonts w:hint="default" w:ascii="Cambria Math" w:hAnsi="Cambria Math" w:eastAsia="MS Mincho"/>
                      <w:i/>
                      <w:kern w:val="2"/>
                      <w:sz w:val="20"/>
                      <w:szCs w:val="20"/>
                    </w:rPr>
                  </m:ctrlPr>
                </m:sub>
              </m:sSub>
            </m:oMath>
            <w:r>
              <w:rPr>
                <w:rFonts w:hint="eastAsia" w:ascii="Arial" w:hAnsi="Arial"/>
                <w:b/>
                <w:sz w:val="18"/>
                <w:szCs w:val="20"/>
              </w:rPr>
              <w:t xml:space="preserve"> Hopping Bits</w:t>
            </w:r>
          </w:p>
        </w:tc>
        <w:tc>
          <w:tcPr>
            <w:tcW w:w="0" w:type="auto"/>
            <w:shd w:val="clear" w:color="auto" w:fill="E0E0E0"/>
            <w:noWrap w:val="0"/>
            <w:vAlign w:val="center"/>
          </w:tcPr>
          <w:p>
            <w:pPr>
              <w:keepNext/>
              <w:keepLines/>
              <w:widowControl/>
              <w:suppressLineNumbers w:val="0"/>
              <w:autoSpaceDE/>
              <w:autoSpaceDN/>
              <w:adjustRightInd/>
              <w:snapToGrid/>
              <w:spacing w:beforeAutospacing="0" w:after="0" w:afterAutospacing="0"/>
              <w:ind w:right="0"/>
              <w:jc w:val="center"/>
              <w:rPr>
                <w:rFonts w:hint="eastAsia" w:ascii="Arial" w:hAnsi="Arial"/>
                <w:b/>
                <w:sz w:val="18"/>
                <w:szCs w:val="18"/>
              </w:rPr>
            </w:pPr>
            <w:r>
              <w:rPr>
                <w:rFonts w:hint="eastAsia" w:ascii="Arial" w:hAnsi="Arial"/>
                <w:b/>
                <w:sz w:val="18"/>
                <w:szCs w:val="20"/>
              </w:rPr>
              <w:t>Frequency offset for 2</w:t>
            </w:r>
            <w:r>
              <w:rPr>
                <w:rFonts w:hint="eastAsia" w:ascii="Arial" w:hAnsi="Arial"/>
                <w:b/>
                <w:sz w:val="18"/>
                <w:szCs w:val="20"/>
                <w:vertAlign w:val="superscript"/>
              </w:rPr>
              <w:t>nd</w:t>
            </w:r>
            <w:r>
              <w:rPr>
                <w:rFonts w:hint="eastAsia" w:ascii="Arial" w:hAnsi="Arial"/>
                <w:b/>
                <w:sz w:val="18"/>
                <w:szCs w:val="20"/>
              </w:rPr>
              <w:t xml:space="preserve"> hop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0" w:type="auto"/>
            <w:vMerge w:val="restart"/>
            <w:noWrap w:val="0"/>
            <w:vAlign w:val="center"/>
          </w:tcPr>
          <w:p>
            <w:pPr>
              <w:keepNext/>
              <w:keepLines/>
              <w:widowControl/>
              <w:suppressLineNumbers w:val="0"/>
              <w:autoSpaceDE/>
              <w:autoSpaceDN/>
              <w:adjustRightInd/>
              <w:snapToGrid/>
              <w:spacing w:beforeAutospacing="0" w:after="0" w:afterAutospacing="0"/>
              <w:ind w:right="0"/>
              <w:jc w:val="center"/>
              <w:rPr>
                <w:rFonts w:hint="eastAsia" w:ascii="Arial" w:hAnsi="Arial"/>
                <w:sz w:val="18"/>
                <w:szCs w:val="20"/>
              </w:rPr>
            </w:pPr>
            <m:oMathPara>
              <m:oMath>
                <m:sSubSup>
                  <m:sSubSupPr>
                    <m:ctrlPr>
                      <w:rPr>
                        <w:rFonts w:hint="default" w:ascii="Cambria Math" w:hAnsi="Cambria Math" w:eastAsia="MS Mincho"/>
                        <w:i/>
                        <w:kern w:val="2"/>
                        <w:sz w:val="18"/>
                        <w:szCs w:val="20"/>
                      </w:rPr>
                    </m:ctrlPr>
                  </m:sSubSupPr>
                  <m:e>
                    <m:r>
                      <m:rPr/>
                      <w:rPr>
                        <w:rFonts w:hint="default" w:ascii="Cambria Math" w:hAnsi="Cambria Math" w:eastAsia="MS Mincho"/>
                        <w:kern w:val="2"/>
                        <w:sz w:val="18"/>
                        <w:szCs w:val="20"/>
                      </w:rPr>
                      <m:t>N</m:t>
                    </m:r>
                    <m:ctrlPr>
                      <w:rPr>
                        <w:rFonts w:hint="default" w:ascii="Cambria Math" w:hAnsi="Cambria Math" w:eastAsia="MS Mincho"/>
                        <w:i/>
                        <w:kern w:val="2"/>
                        <w:sz w:val="18"/>
                        <w:szCs w:val="20"/>
                      </w:rPr>
                    </m:ctrlPr>
                  </m:e>
                  <m:sub>
                    <m:r>
                      <m:rPr>
                        <m:nor/>
                        <m:sty m:val="p"/>
                      </m:rPr>
                      <w:rPr>
                        <w:rFonts w:hint="default" w:ascii="Cambria Math" w:hAnsi="Cambria Math" w:eastAsia="MS Mincho"/>
                        <w:b w:val="0"/>
                        <w:i w:val="0"/>
                        <w:kern w:val="2"/>
                        <w:sz w:val="18"/>
                        <w:szCs w:val="20"/>
                      </w:rPr>
                      <m:t>BWP</m:t>
                    </m:r>
                    <m:ctrlPr>
                      <w:rPr>
                        <w:rFonts w:hint="default" w:ascii="Cambria Math" w:hAnsi="Cambria Math" w:eastAsia="MS Mincho"/>
                        <w:i/>
                        <w:kern w:val="2"/>
                        <w:sz w:val="18"/>
                        <w:szCs w:val="20"/>
                      </w:rPr>
                    </m:ctrlPr>
                  </m:sub>
                  <m:sup>
                    <m:r>
                      <m:rPr>
                        <m:nor/>
                        <m:sty m:val="p"/>
                      </m:rPr>
                      <w:rPr>
                        <w:rFonts w:hint="default" w:ascii="Cambria Math" w:hAnsi="Cambria Math" w:eastAsia="MS Mincho"/>
                        <w:b w:val="0"/>
                        <w:i w:val="0"/>
                        <w:kern w:val="2"/>
                        <w:sz w:val="18"/>
                        <w:szCs w:val="20"/>
                      </w:rPr>
                      <m:t>size</m:t>
                    </m:r>
                    <m:ctrlPr>
                      <w:rPr>
                        <w:rFonts w:hint="default" w:ascii="Cambria Math" w:hAnsi="Cambria Math" w:eastAsia="MS Mincho"/>
                        <w:i/>
                        <w:kern w:val="2"/>
                        <w:sz w:val="18"/>
                        <w:szCs w:val="20"/>
                      </w:rPr>
                    </m:ctrlPr>
                  </m:sup>
                </m:sSubSup>
                <m:r>
                  <m:rPr/>
                  <w:rPr>
                    <w:rFonts w:hint="default" w:ascii="Cambria Math" w:hAnsi="Cambria Math" w:eastAsia="MS Mincho"/>
                    <w:kern w:val="2"/>
                    <w:sz w:val="18"/>
                    <w:szCs w:val="20"/>
                  </w:rPr>
                  <m:t>&lt;50</m:t>
                </m:r>
              </m:oMath>
            </m:oMathPara>
          </w:p>
        </w:tc>
        <w:tc>
          <w:tcPr>
            <w:tcW w:w="0" w:type="auto"/>
            <w:noWrap w:val="0"/>
            <w:vAlign w:val="center"/>
          </w:tcPr>
          <w:p>
            <w:pPr>
              <w:keepNext/>
              <w:keepLines/>
              <w:widowControl/>
              <w:suppressLineNumbers w:val="0"/>
              <w:autoSpaceDE/>
              <w:autoSpaceDN/>
              <w:adjustRightInd/>
              <w:snapToGrid/>
              <w:spacing w:beforeAutospacing="0" w:after="0" w:afterAutospacing="0"/>
              <w:ind w:right="0"/>
              <w:jc w:val="center"/>
              <w:rPr>
                <w:rFonts w:hint="eastAsia" w:ascii="Arial" w:hAnsi="Arial"/>
                <w:sz w:val="18"/>
                <w:szCs w:val="20"/>
              </w:rPr>
            </w:pPr>
            <w:r>
              <w:rPr>
                <w:rFonts w:hint="eastAsia" w:ascii="Arial" w:hAnsi="Arial"/>
                <w:sz w:val="18"/>
                <w:szCs w:val="20"/>
              </w:rPr>
              <w:t>0</w:t>
            </w:r>
          </w:p>
        </w:tc>
        <w:tc>
          <w:tcPr>
            <w:tcW w:w="0" w:type="auto"/>
            <w:noWrap w:val="0"/>
            <w:vAlign w:val="center"/>
          </w:tcPr>
          <w:p>
            <w:pPr>
              <w:keepNext/>
              <w:keepLines/>
              <w:widowControl/>
              <w:suppressLineNumbers w:val="0"/>
              <w:autoSpaceDE/>
              <w:autoSpaceDN/>
              <w:adjustRightInd/>
              <w:snapToGrid/>
              <w:spacing w:beforeAutospacing="0" w:after="0" w:afterAutospacing="0"/>
              <w:ind w:right="0"/>
              <w:jc w:val="center"/>
              <w:rPr>
                <w:rFonts w:hint="eastAsia"/>
                <w:sz w:val="18"/>
                <w:szCs w:val="20"/>
              </w:rPr>
            </w:pPr>
            <m:oMathPara>
              <m:oMath>
                <m:d>
                  <m:dPr>
                    <m:begChr m:val="⌊"/>
                    <m:endChr m:val="⌋"/>
                    <m:ctrlPr>
                      <w:rPr>
                        <w:rFonts w:hint="default" w:ascii="Cambria Math" w:hAnsi="Cambria Math" w:eastAsia="MS Mincho"/>
                        <w:i/>
                        <w:kern w:val="2"/>
                        <w:sz w:val="20"/>
                        <w:szCs w:val="20"/>
                      </w:rPr>
                    </m:ctrlPr>
                  </m:dPr>
                  <m:e>
                    <m:f>
                      <m:fPr>
                        <m:type m:val="lin"/>
                        <m:ctrlPr>
                          <w:rPr>
                            <w:rFonts w:hint="default" w:ascii="Cambria Math" w:hAnsi="Cambria Math" w:eastAsia="MS Mincho"/>
                            <w:i/>
                            <w:kern w:val="2"/>
                            <w:sz w:val="20"/>
                            <w:szCs w:val="20"/>
                          </w:rPr>
                        </m:ctrlPr>
                      </m:fPr>
                      <m:num>
                        <m:sSubSup>
                          <m:sSubSupPr>
                            <m:ctrlPr>
                              <w:rPr>
                                <w:rFonts w:hint="default" w:ascii="Cambria Math" w:hAnsi="Cambria Math" w:eastAsia="MS Mincho"/>
                                <w:i/>
                                <w:kern w:val="2"/>
                                <w:sz w:val="18"/>
                                <w:szCs w:val="20"/>
                              </w:rPr>
                            </m:ctrlPr>
                          </m:sSubSupPr>
                          <m:e>
                            <m:r>
                              <m:rPr/>
                              <w:rPr>
                                <w:rFonts w:hint="default" w:ascii="Cambria Math" w:hAnsi="Cambria Math" w:eastAsia="MS Mincho"/>
                                <w:kern w:val="2"/>
                                <w:sz w:val="18"/>
                                <w:szCs w:val="20"/>
                              </w:rPr>
                              <m:t>N</m:t>
                            </m:r>
                            <m:ctrlPr>
                              <w:rPr>
                                <w:rFonts w:hint="default" w:ascii="Cambria Math" w:hAnsi="Cambria Math" w:eastAsia="MS Mincho"/>
                                <w:i/>
                                <w:kern w:val="2"/>
                                <w:sz w:val="18"/>
                                <w:szCs w:val="20"/>
                              </w:rPr>
                            </m:ctrlPr>
                          </m:e>
                          <m:sub>
                            <m:r>
                              <m:rPr>
                                <m:nor/>
                                <m:sty m:val="p"/>
                              </m:rPr>
                              <w:rPr>
                                <w:rFonts w:hint="default" w:ascii="Cambria Math" w:hAnsi="Cambria Math" w:eastAsia="MS Mincho"/>
                                <w:b w:val="0"/>
                                <w:i w:val="0"/>
                                <w:kern w:val="2"/>
                                <w:sz w:val="18"/>
                                <w:szCs w:val="20"/>
                              </w:rPr>
                              <m:t>BWP</m:t>
                            </m:r>
                            <m:ctrlPr>
                              <w:rPr>
                                <w:rFonts w:hint="default" w:ascii="Cambria Math" w:hAnsi="Cambria Math" w:eastAsia="MS Mincho"/>
                                <w:i/>
                                <w:kern w:val="2"/>
                                <w:sz w:val="18"/>
                                <w:szCs w:val="20"/>
                              </w:rPr>
                            </m:ctrlPr>
                          </m:sub>
                          <m:sup>
                            <m:r>
                              <m:rPr>
                                <m:nor/>
                                <m:sty m:val="p"/>
                              </m:rPr>
                              <w:rPr>
                                <w:rFonts w:hint="default" w:ascii="Cambria Math" w:hAnsi="Cambria Math" w:eastAsia="MS Mincho"/>
                                <w:b w:val="0"/>
                                <w:i w:val="0"/>
                                <w:kern w:val="2"/>
                                <w:sz w:val="18"/>
                                <w:szCs w:val="20"/>
                              </w:rPr>
                              <m:t>size</m:t>
                            </m:r>
                            <m:ctrlPr>
                              <w:rPr>
                                <w:rFonts w:hint="default" w:ascii="Cambria Math" w:hAnsi="Cambria Math" w:eastAsia="MS Mincho"/>
                                <w:i/>
                                <w:kern w:val="2"/>
                                <w:sz w:val="18"/>
                                <w:szCs w:val="20"/>
                              </w:rPr>
                            </m:ctrlPr>
                          </m:sup>
                        </m:sSubSup>
                        <m:ctrlPr>
                          <w:rPr>
                            <w:rFonts w:hint="default" w:ascii="Cambria Math" w:hAnsi="Cambria Math" w:eastAsia="MS Mincho"/>
                            <w:i/>
                            <w:kern w:val="2"/>
                            <w:sz w:val="20"/>
                            <w:szCs w:val="20"/>
                          </w:rPr>
                        </m:ctrlPr>
                      </m:num>
                      <m:den>
                        <m:r>
                          <m:rPr/>
                          <w:rPr>
                            <w:rFonts w:hint="default" w:ascii="Cambria Math" w:hAnsi="Cambria Math" w:eastAsia="MS Mincho"/>
                            <w:kern w:val="2"/>
                            <w:sz w:val="18"/>
                            <w:szCs w:val="20"/>
                          </w:rPr>
                          <m:t>2</m:t>
                        </m:r>
                        <m:ctrlPr>
                          <w:rPr>
                            <w:rFonts w:hint="default" w:ascii="Cambria Math" w:hAnsi="Cambria Math" w:eastAsia="MS Mincho"/>
                            <w:i/>
                            <w:kern w:val="2"/>
                            <w:sz w:val="20"/>
                            <w:szCs w:val="20"/>
                          </w:rPr>
                        </m:ctrlPr>
                      </m:den>
                    </m:f>
                    <m:ctrlPr>
                      <w:rPr>
                        <w:rFonts w:hint="default" w:ascii="Cambria Math" w:hAnsi="Cambria Math" w:eastAsia="MS Mincho"/>
                        <w:i/>
                        <w:kern w:val="2"/>
                        <w:sz w:val="20"/>
                        <w:szCs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noWrap w:val="0"/>
            <w:vAlign w:val="center"/>
          </w:tcPr>
          <w:p>
            <w:pPr>
              <w:keepNext/>
              <w:keepLines/>
              <w:widowControl/>
              <w:suppressLineNumbers w:val="0"/>
              <w:autoSpaceDE/>
              <w:autoSpaceDN/>
              <w:adjustRightInd/>
              <w:snapToGrid/>
              <w:spacing w:beforeAutospacing="0" w:after="0" w:afterAutospacing="0"/>
              <w:ind w:right="0"/>
              <w:jc w:val="center"/>
              <w:rPr>
                <w:rFonts w:hint="eastAsia" w:ascii="Arial" w:hAnsi="Arial"/>
                <w:sz w:val="18"/>
                <w:szCs w:val="20"/>
              </w:rPr>
            </w:pPr>
          </w:p>
        </w:tc>
        <w:tc>
          <w:tcPr>
            <w:tcW w:w="0" w:type="auto"/>
            <w:noWrap w:val="0"/>
            <w:vAlign w:val="center"/>
          </w:tcPr>
          <w:p>
            <w:pPr>
              <w:keepNext/>
              <w:keepLines/>
              <w:widowControl/>
              <w:suppressLineNumbers w:val="0"/>
              <w:autoSpaceDE/>
              <w:autoSpaceDN/>
              <w:adjustRightInd/>
              <w:snapToGrid/>
              <w:spacing w:beforeAutospacing="0" w:after="0" w:afterAutospacing="0"/>
              <w:ind w:right="0"/>
              <w:jc w:val="center"/>
              <w:rPr>
                <w:rFonts w:hint="eastAsia" w:ascii="Arial" w:hAnsi="Arial"/>
                <w:sz w:val="18"/>
                <w:szCs w:val="20"/>
              </w:rPr>
            </w:pPr>
            <w:r>
              <w:rPr>
                <w:rFonts w:hint="eastAsia" w:ascii="Arial" w:hAnsi="Arial"/>
                <w:sz w:val="18"/>
                <w:szCs w:val="20"/>
              </w:rPr>
              <w:t>1</w:t>
            </w:r>
          </w:p>
        </w:tc>
        <w:tc>
          <w:tcPr>
            <w:tcW w:w="0" w:type="auto"/>
            <w:noWrap w:val="0"/>
            <w:vAlign w:val="center"/>
          </w:tcPr>
          <w:p>
            <w:pPr>
              <w:keepNext/>
              <w:keepLines/>
              <w:widowControl/>
              <w:suppressLineNumbers w:val="0"/>
              <w:autoSpaceDE/>
              <w:autoSpaceDN/>
              <w:adjustRightInd/>
              <w:snapToGrid/>
              <w:spacing w:beforeAutospacing="0" w:after="0" w:afterAutospacing="0"/>
              <w:ind w:right="0"/>
              <w:jc w:val="center"/>
              <w:rPr>
                <w:rFonts w:hint="eastAsia"/>
                <w:sz w:val="18"/>
                <w:szCs w:val="20"/>
              </w:rPr>
            </w:pPr>
            <m:oMathPara>
              <m:oMath>
                <m:d>
                  <m:dPr>
                    <m:begChr m:val="⌊"/>
                    <m:endChr m:val="⌋"/>
                    <m:ctrlPr>
                      <w:rPr>
                        <w:rFonts w:hint="default" w:ascii="Cambria Math" w:hAnsi="Cambria Math" w:eastAsia="MS Mincho"/>
                        <w:i/>
                        <w:kern w:val="2"/>
                        <w:sz w:val="20"/>
                        <w:szCs w:val="20"/>
                      </w:rPr>
                    </m:ctrlPr>
                  </m:dPr>
                  <m:e>
                    <m:f>
                      <m:fPr>
                        <m:type m:val="lin"/>
                        <m:ctrlPr>
                          <w:rPr>
                            <w:rFonts w:hint="default" w:ascii="Cambria Math" w:hAnsi="Cambria Math" w:eastAsia="MS Mincho"/>
                            <w:i/>
                            <w:kern w:val="2"/>
                            <w:sz w:val="20"/>
                            <w:szCs w:val="20"/>
                          </w:rPr>
                        </m:ctrlPr>
                      </m:fPr>
                      <m:num>
                        <m:sSubSup>
                          <m:sSubSupPr>
                            <m:ctrlPr>
                              <w:rPr>
                                <w:rFonts w:hint="default" w:ascii="Cambria Math" w:hAnsi="Cambria Math" w:eastAsia="MS Mincho"/>
                                <w:i/>
                                <w:kern w:val="2"/>
                                <w:sz w:val="18"/>
                                <w:szCs w:val="20"/>
                              </w:rPr>
                            </m:ctrlPr>
                          </m:sSubSupPr>
                          <m:e>
                            <m:r>
                              <m:rPr/>
                              <w:rPr>
                                <w:rFonts w:hint="default" w:ascii="Cambria Math" w:hAnsi="Cambria Math" w:eastAsia="MS Mincho"/>
                                <w:kern w:val="2"/>
                                <w:sz w:val="18"/>
                                <w:szCs w:val="20"/>
                              </w:rPr>
                              <m:t>N</m:t>
                            </m:r>
                            <m:ctrlPr>
                              <w:rPr>
                                <w:rFonts w:hint="default" w:ascii="Cambria Math" w:hAnsi="Cambria Math" w:eastAsia="MS Mincho"/>
                                <w:i/>
                                <w:kern w:val="2"/>
                                <w:sz w:val="18"/>
                                <w:szCs w:val="20"/>
                              </w:rPr>
                            </m:ctrlPr>
                          </m:e>
                          <m:sub>
                            <m:r>
                              <m:rPr>
                                <m:nor/>
                                <m:sty m:val="p"/>
                              </m:rPr>
                              <w:rPr>
                                <w:rFonts w:hint="default" w:ascii="Cambria Math" w:hAnsi="Cambria Math" w:eastAsia="MS Mincho"/>
                                <w:b w:val="0"/>
                                <w:i w:val="0"/>
                                <w:kern w:val="2"/>
                                <w:sz w:val="18"/>
                                <w:szCs w:val="20"/>
                              </w:rPr>
                              <m:t>BWP</m:t>
                            </m:r>
                            <m:ctrlPr>
                              <w:rPr>
                                <w:rFonts w:hint="default" w:ascii="Cambria Math" w:hAnsi="Cambria Math" w:eastAsia="MS Mincho"/>
                                <w:i/>
                                <w:kern w:val="2"/>
                                <w:sz w:val="18"/>
                                <w:szCs w:val="20"/>
                              </w:rPr>
                            </m:ctrlPr>
                          </m:sub>
                          <m:sup>
                            <m:r>
                              <m:rPr>
                                <m:nor/>
                                <m:sty m:val="p"/>
                              </m:rPr>
                              <w:rPr>
                                <w:rFonts w:hint="default" w:ascii="Cambria Math" w:hAnsi="Cambria Math" w:eastAsia="MS Mincho"/>
                                <w:b w:val="0"/>
                                <w:i w:val="0"/>
                                <w:kern w:val="2"/>
                                <w:sz w:val="18"/>
                                <w:szCs w:val="20"/>
                              </w:rPr>
                              <m:t>size</m:t>
                            </m:r>
                            <m:ctrlPr>
                              <w:rPr>
                                <w:rFonts w:hint="default" w:ascii="Cambria Math" w:hAnsi="Cambria Math" w:eastAsia="MS Mincho"/>
                                <w:i/>
                                <w:kern w:val="2"/>
                                <w:sz w:val="18"/>
                                <w:szCs w:val="20"/>
                              </w:rPr>
                            </m:ctrlPr>
                          </m:sup>
                        </m:sSubSup>
                        <m:ctrlPr>
                          <w:rPr>
                            <w:rFonts w:hint="default" w:ascii="Cambria Math" w:hAnsi="Cambria Math" w:eastAsia="MS Mincho"/>
                            <w:i/>
                            <w:kern w:val="2"/>
                            <w:sz w:val="20"/>
                            <w:szCs w:val="20"/>
                          </w:rPr>
                        </m:ctrlPr>
                      </m:num>
                      <m:den>
                        <m:r>
                          <m:rPr/>
                          <w:rPr>
                            <w:rFonts w:hint="default" w:ascii="Cambria Math" w:hAnsi="Cambria Math" w:eastAsia="MS Mincho"/>
                            <w:kern w:val="2"/>
                            <w:sz w:val="18"/>
                            <w:szCs w:val="20"/>
                          </w:rPr>
                          <m:t>4</m:t>
                        </m:r>
                        <m:ctrlPr>
                          <w:rPr>
                            <w:rFonts w:hint="default" w:ascii="Cambria Math" w:hAnsi="Cambria Math" w:eastAsia="MS Mincho"/>
                            <w:i/>
                            <w:kern w:val="2"/>
                            <w:sz w:val="20"/>
                            <w:szCs w:val="20"/>
                          </w:rPr>
                        </m:ctrlPr>
                      </m:den>
                    </m:f>
                    <m:ctrlPr>
                      <w:rPr>
                        <w:rFonts w:hint="default" w:ascii="Cambria Math" w:hAnsi="Cambria Math" w:eastAsia="MS Mincho"/>
                        <w:i/>
                        <w:kern w:val="2"/>
                        <w:sz w:val="20"/>
                        <w:szCs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restart"/>
            <w:noWrap w:val="0"/>
            <w:vAlign w:val="center"/>
          </w:tcPr>
          <w:p>
            <w:pPr>
              <w:keepNext/>
              <w:keepLines/>
              <w:widowControl/>
              <w:suppressLineNumbers w:val="0"/>
              <w:autoSpaceDE/>
              <w:autoSpaceDN/>
              <w:adjustRightInd/>
              <w:snapToGrid/>
              <w:spacing w:beforeAutospacing="0" w:after="0" w:afterAutospacing="0"/>
              <w:ind w:right="0"/>
              <w:jc w:val="center"/>
              <w:rPr>
                <w:rFonts w:hint="eastAsia" w:ascii="Arial" w:hAnsi="Arial"/>
                <w:sz w:val="18"/>
                <w:szCs w:val="20"/>
              </w:rPr>
            </w:pPr>
            <m:oMathPara>
              <m:oMath>
                <m:sSubSup>
                  <m:sSubSupPr>
                    <m:ctrlPr>
                      <w:rPr>
                        <w:rFonts w:hint="default" w:ascii="Cambria Math" w:hAnsi="Cambria Math" w:eastAsia="MS Mincho"/>
                        <w:i/>
                        <w:kern w:val="2"/>
                        <w:sz w:val="18"/>
                        <w:szCs w:val="20"/>
                      </w:rPr>
                    </m:ctrlPr>
                  </m:sSubSupPr>
                  <m:e>
                    <m:r>
                      <m:rPr/>
                      <w:rPr>
                        <w:rFonts w:hint="default" w:ascii="Cambria Math" w:hAnsi="Cambria Math" w:eastAsia="MS Mincho"/>
                        <w:kern w:val="2"/>
                        <w:sz w:val="18"/>
                        <w:szCs w:val="20"/>
                      </w:rPr>
                      <m:t>N</m:t>
                    </m:r>
                    <m:ctrlPr>
                      <w:rPr>
                        <w:rFonts w:hint="default" w:ascii="Cambria Math" w:hAnsi="Cambria Math" w:eastAsia="MS Mincho"/>
                        <w:i/>
                        <w:kern w:val="2"/>
                        <w:sz w:val="18"/>
                        <w:szCs w:val="20"/>
                      </w:rPr>
                    </m:ctrlPr>
                  </m:e>
                  <m:sub>
                    <m:r>
                      <m:rPr>
                        <m:nor/>
                        <m:sty m:val="p"/>
                      </m:rPr>
                      <w:rPr>
                        <w:rFonts w:hint="default" w:ascii="Cambria Math" w:hAnsi="Cambria Math" w:eastAsia="MS Mincho"/>
                        <w:b w:val="0"/>
                        <w:i w:val="0"/>
                        <w:kern w:val="2"/>
                        <w:sz w:val="18"/>
                        <w:szCs w:val="20"/>
                      </w:rPr>
                      <m:t>BWP</m:t>
                    </m:r>
                    <m:ctrlPr>
                      <w:rPr>
                        <w:rFonts w:hint="default" w:ascii="Cambria Math" w:hAnsi="Cambria Math" w:eastAsia="MS Mincho"/>
                        <w:i/>
                        <w:kern w:val="2"/>
                        <w:sz w:val="18"/>
                        <w:szCs w:val="20"/>
                      </w:rPr>
                    </m:ctrlPr>
                  </m:sub>
                  <m:sup>
                    <m:r>
                      <m:rPr>
                        <m:nor/>
                        <m:sty m:val="p"/>
                      </m:rPr>
                      <w:rPr>
                        <w:rFonts w:hint="default" w:ascii="Cambria Math" w:hAnsi="Cambria Math" w:eastAsia="MS Mincho"/>
                        <w:b w:val="0"/>
                        <w:i w:val="0"/>
                        <w:kern w:val="2"/>
                        <w:sz w:val="18"/>
                        <w:szCs w:val="20"/>
                      </w:rPr>
                      <m:t>size</m:t>
                    </m:r>
                    <m:ctrlPr>
                      <w:rPr>
                        <w:rFonts w:hint="default" w:ascii="Cambria Math" w:hAnsi="Cambria Math" w:eastAsia="MS Mincho"/>
                        <w:i/>
                        <w:kern w:val="2"/>
                        <w:sz w:val="18"/>
                        <w:szCs w:val="20"/>
                      </w:rPr>
                    </m:ctrlPr>
                  </m:sup>
                </m:sSubSup>
                <m:r>
                  <m:rPr/>
                  <w:rPr>
                    <w:rFonts w:hint="default" w:ascii="Cambria Math" w:hAnsi="Cambria Math" w:eastAsia="MS Mincho"/>
                    <w:kern w:val="2"/>
                    <w:sz w:val="18"/>
                    <w:szCs w:val="20"/>
                  </w:rPr>
                  <m:t>≥50</m:t>
                </m:r>
              </m:oMath>
            </m:oMathPara>
          </w:p>
        </w:tc>
        <w:tc>
          <w:tcPr>
            <w:tcW w:w="0" w:type="auto"/>
            <w:noWrap w:val="0"/>
            <w:vAlign w:val="center"/>
          </w:tcPr>
          <w:p>
            <w:pPr>
              <w:keepNext/>
              <w:keepLines/>
              <w:widowControl/>
              <w:suppressLineNumbers w:val="0"/>
              <w:autoSpaceDE/>
              <w:autoSpaceDN/>
              <w:adjustRightInd/>
              <w:snapToGrid/>
              <w:spacing w:beforeAutospacing="0" w:after="0" w:afterAutospacing="0"/>
              <w:ind w:right="0"/>
              <w:jc w:val="center"/>
              <w:rPr>
                <w:rFonts w:hint="eastAsia" w:ascii="Arial" w:hAnsi="Arial"/>
                <w:sz w:val="18"/>
                <w:szCs w:val="20"/>
              </w:rPr>
            </w:pPr>
            <w:r>
              <w:rPr>
                <w:rFonts w:hint="eastAsia" w:ascii="Arial" w:hAnsi="Arial"/>
                <w:sz w:val="18"/>
                <w:szCs w:val="20"/>
              </w:rPr>
              <w:t>00</w:t>
            </w:r>
          </w:p>
        </w:tc>
        <w:tc>
          <w:tcPr>
            <w:tcW w:w="0" w:type="auto"/>
            <w:noWrap w:val="0"/>
            <w:vAlign w:val="center"/>
          </w:tcPr>
          <w:p>
            <w:pPr>
              <w:keepNext/>
              <w:keepLines/>
              <w:widowControl/>
              <w:suppressLineNumbers w:val="0"/>
              <w:autoSpaceDE/>
              <w:autoSpaceDN/>
              <w:adjustRightInd/>
              <w:snapToGrid/>
              <w:spacing w:beforeAutospacing="0" w:after="0" w:afterAutospacing="0"/>
              <w:ind w:right="0"/>
              <w:jc w:val="center"/>
              <w:rPr>
                <w:rFonts w:hint="eastAsia"/>
                <w:sz w:val="18"/>
                <w:szCs w:val="20"/>
              </w:rPr>
            </w:pPr>
            <m:oMathPara>
              <m:oMath>
                <m:d>
                  <m:dPr>
                    <m:begChr m:val="⌊"/>
                    <m:endChr m:val="⌋"/>
                    <m:ctrlPr>
                      <w:rPr>
                        <w:rFonts w:hint="default" w:ascii="Cambria Math" w:hAnsi="Cambria Math" w:eastAsia="MS Mincho"/>
                        <w:i/>
                        <w:kern w:val="2"/>
                        <w:sz w:val="20"/>
                        <w:szCs w:val="20"/>
                      </w:rPr>
                    </m:ctrlPr>
                  </m:dPr>
                  <m:e>
                    <m:f>
                      <m:fPr>
                        <m:type m:val="lin"/>
                        <m:ctrlPr>
                          <w:rPr>
                            <w:rFonts w:hint="default" w:ascii="Cambria Math" w:hAnsi="Cambria Math" w:eastAsia="MS Mincho"/>
                            <w:i/>
                            <w:kern w:val="2"/>
                            <w:sz w:val="20"/>
                            <w:szCs w:val="20"/>
                          </w:rPr>
                        </m:ctrlPr>
                      </m:fPr>
                      <m:num>
                        <m:sSubSup>
                          <m:sSubSupPr>
                            <m:ctrlPr>
                              <w:rPr>
                                <w:rFonts w:hint="default" w:ascii="Cambria Math" w:hAnsi="Cambria Math" w:eastAsia="MS Mincho"/>
                                <w:i/>
                                <w:kern w:val="2"/>
                                <w:sz w:val="18"/>
                                <w:szCs w:val="20"/>
                              </w:rPr>
                            </m:ctrlPr>
                          </m:sSubSupPr>
                          <m:e>
                            <m:r>
                              <m:rPr/>
                              <w:rPr>
                                <w:rFonts w:hint="default" w:ascii="Cambria Math" w:hAnsi="Cambria Math" w:eastAsia="MS Mincho"/>
                                <w:kern w:val="2"/>
                                <w:sz w:val="18"/>
                                <w:szCs w:val="20"/>
                              </w:rPr>
                              <m:t>N</m:t>
                            </m:r>
                            <m:ctrlPr>
                              <w:rPr>
                                <w:rFonts w:hint="default" w:ascii="Cambria Math" w:hAnsi="Cambria Math" w:eastAsia="MS Mincho"/>
                                <w:i/>
                                <w:kern w:val="2"/>
                                <w:sz w:val="18"/>
                                <w:szCs w:val="20"/>
                              </w:rPr>
                            </m:ctrlPr>
                          </m:e>
                          <m:sub>
                            <m:r>
                              <m:rPr>
                                <m:nor/>
                                <m:sty m:val="p"/>
                              </m:rPr>
                              <w:rPr>
                                <w:rFonts w:hint="default" w:ascii="Cambria Math" w:hAnsi="Cambria Math" w:eastAsia="MS Mincho"/>
                                <w:b w:val="0"/>
                                <w:i w:val="0"/>
                                <w:kern w:val="2"/>
                                <w:sz w:val="18"/>
                                <w:szCs w:val="20"/>
                              </w:rPr>
                              <m:t>BWP</m:t>
                            </m:r>
                            <m:ctrlPr>
                              <w:rPr>
                                <w:rFonts w:hint="default" w:ascii="Cambria Math" w:hAnsi="Cambria Math" w:eastAsia="MS Mincho"/>
                                <w:i/>
                                <w:kern w:val="2"/>
                                <w:sz w:val="18"/>
                                <w:szCs w:val="20"/>
                              </w:rPr>
                            </m:ctrlPr>
                          </m:sub>
                          <m:sup>
                            <m:r>
                              <m:rPr>
                                <m:nor/>
                                <m:sty m:val="p"/>
                              </m:rPr>
                              <w:rPr>
                                <w:rFonts w:hint="default" w:ascii="Cambria Math" w:hAnsi="Cambria Math" w:eastAsia="MS Mincho"/>
                                <w:b w:val="0"/>
                                <w:i w:val="0"/>
                                <w:kern w:val="2"/>
                                <w:sz w:val="18"/>
                                <w:szCs w:val="20"/>
                              </w:rPr>
                              <m:t>size</m:t>
                            </m:r>
                            <m:ctrlPr>
                              <w:rPr>
                                <w:rFonts w:hint="default" w:ascii="Cambria Math" w:hAnsi="Cambria Math" w:eastAsia="MS Mincho"/>
                                <w:i/>
                                <w:kern w:val="2"/>
                                <w:sz w:val="18"/>
                                <w:szCs w:val="20"/>
                              </w:rPr>
                            </m:ctrlPr>
                          </m:sup>
                        </m:sSubSup>
                        <m:ctrlPr>
                          <w:rPr>
                            <w:rFonts w:hint="default" w:ascii="Cambria Math" w:hAnsi="Cambria Math" w:eastAsia="MS Mincho"/>
                            <w:i/>
                            <w:kern w:val="2"/>
                            <w:sz w:val="20"/>
                            <w:szCs w:val="20"/>
                          </w:rPr>
                        </m:ctrlPr>
                      </m:num>
                      <m:den>
                        <m:r>
                          <m:rPr/>
                          <w:rPr>
                            <w:rFonts w:hint="default" w:ascii="Cambria Math" w:hAnsi="Cambria Math" w:eastAsia="MS Mincho"/>
                            <w:kern w:val="2"/>
                            <w:sz w:val="18"/>
                            <w:szCs w:val="20"/>
                          </w:rPr>
                          <m:t>2</m:t>
                        </m:r>
                        <m:ctrlPr>
                          <w:rPr>
                            <w:rFonts w:hint="default" w:ascii="Cambria Math" w:hAnsi="Cambria Math" w:eastAsia="MS Mincho"/>
                            <w:i/>
                            <w:kern w:val="2"/>
                            <w:sz w:val="20"/>
                            <w:szCs w:val="20"/>
                          </w:rPr>
                        </m:ctrlPr>
                      </m:den>
                    </m:f>
                    <m:ctrlPr>
                      <w:rPr>
                        <w:rFonts w:hint="default" w:ascii="Cambria Math" w:hAnsi="Cambria Math" w:eastAsia="MS Mincho"/>
                        <w:i/>
                        <w:kern w:val="2"/>
                        <w:sz w:val="20"/>
                        <w:szCs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0" w:type="auto"/>
            <w:vMerge w:val="continue"/>
            <w:noWrap w:val="0"/>
            <w:vAlign w:val="center"/>
          </w:tcPr>
          <w:p>
            <w:pPr>
              <w:keepNext/>
              <w:keepLines/>
              <w:widowControl/>
              <w:suppressLineNumbers w:val="0"/>
              <w:autoSpaceDE/>
              <w:autoSpaceDN/>
              <w:adjustRightInd/>
              <w:snapToGrid/>
              <w:spacing w:beforeAutospacing="0" w:after="0" w:afterAutospacing="0"/>
              <w:ind w:right="0"/>
              <w:jc w:val="center"/>
              <w:rPr>
                <w:rFonts w:hint="eastAsia" w:ascii="Arial" w:hAnsi="Arial"/>
                <w:sz w:val="18"/>
                <w:szCs w:val="20"/>
              </w:rPr>
            </w:pPr>
          </w:p>
        </w:tc>
        <w:tc>
          <w:tcPr>
            <w:tcW w:w="0" w:type="auto"/>
            <w:noWrap w:val="0"/>
            <w:vAlign w:val="center"/>
          </w:tcPr>
          <w:p>
            <w:pPr>
              <w:keepNext/>
              <w:keepLines/>
              <w:widowControl/>
              <w:suppressLineNumbers w:val="0"/>
              <w:autoSpaceDE/>
              <w:autoSpaceDN/>
              <w:adjustRightInd/>
              <w:snapToGrid/>
              <w:spacing w:beforeAutospacing="0" w:after="0" w:afterAutospacing="0"/>
              <w:ind w:right="0"/>
              <w:jc w:val="center"/>
              <w:rPr>
                <w:rFonts w:hint="eastAsia" w:ascii="Arial" w:hAnsi="Arial"/>
                <w:sz w:val="18"/>
                <w:szCs w:val="20"/>
              </w:rPr>
            </w:pPr>
            <w:r>
              <w:rPr>
                <w:rFonts w:hint="eastAsia" w:ascii="Arial" w:hAnsi="Arial"/>
                <w:sz w:val="18"/>
                <w:szCs w:val="20"/>
              </w:rPr>
              <w:t>01</w:t>
            </w:r>
          </w:p>
        </w:tc>
        <w:tc>
          <w:tcPr>
            <w:tcW w:w="0" w:type="auto"/>
            <w:noWrap w:val="0"/>
            <w:vAlign w:val="center"/>
          </w:tcPr>
          <w:p>
            <w:pPr>
              <w:keepNext/>
              <w:keepLines/>
              <w:widowControl/>
              <w:suppressLineNumbers w:val="0"/>
              <w:autoSpaceDE/>
              <w:autoSpaceDN/>
              <w:adjustRightInd/>
              <w:snapToGrid/>
              <w:spacing w:beforeAutospacing="0" w:after="0" w:afterAutospacing="0"/>
              <w:ind w:right="0"/>
              <w:jc w:val="center"/>
              <w:rPr>
                <w:rFonts w:hint="eastAsia"/>
                <w:sz w:val="18"/>
                <w:szCs w:val="20"/>
              </w:rPr>
            </w:pPr>
            <m:oMathPara>
              <m:oMath>
                <m:d>
                  <m:dPr>
                    <m:begChr m:val="⌊"/>
                    <m:endChr m:val="⌋"/>
                    <m:ctrlPr>
                      <w:rPr>
                        <w:rFonts w:hint="default" w:ascii="Cambria Math" w:hAnsi="Cambria Math" w:eastAsia="MS Mincho"/>
                        <w:i/>
                        <w:kern w:val="2"/>
                        <w:sz w:val="20"/>
                        <w:szCs w:val="20"/>
                      </w:rPr>
                    </m:ctrlPr>
                  </m:dPr>
                  <m:e>
                    <m:f>
                      <m:fPr>
                        <m:type m:val="lin"/>
                        <m:ctrlPr>
                          <w:rPr>
                            <w:rFonts w:hint="default" w:ascii="Cambria Math" w:hAnsi="Cambria Math" w:eastAsia="MS Mincho"/>
                            <w:i/>
                            <w:kern w:val="2"/>
                            <w:sz w:val="20"/>
                            <w:szCs w:val="20"/>
                          </w:rPr>
                        </m:ctrlPr>
                      </m:fPr>
                      <m:num>
                        <m:sSubSup>
                          <m:sSubSupPr>
                            <m:ctrlPr>
                              <w:rPr>
                                <w:rFonts w:hint="default" w:ascii="Cambria Math" w:hAnsi="Cambria Math" w:eastAsia="MS Mincho"/>
                                <w:i/>
                                <w:kern w:val="2"/>
                                <w:sz w:val="18"/>
                                <w:szCs w:val="20"/>
                              </w:rPr>
                            </m:ctrlPr>
                          </m:sSubSupPr>
                          <m:e>
                            <m:r>
                              <m:rPr/>
                              <w:rPr>
                                <w:rFonts w:hint="default" w:ascii="Cambria Math" w:hAnsi="Cambria Math" w:eastAsia="MS Mincho"/>
                                <w:kern w:val="2"/>
                                <w:sz w:val="18"/>
                                <w:szCs w:val="20"/>
                              </w:rPr>
                              <m:t>N</m:t>
                            </m:r>
                            <m:ctrlPr>
                              <w:rPr>
                                <w:rFonts w:hint="default" w:ascii="Cambria Math" w:hAnsi="Cambria Math" w:eastAsia="MS Mincho"/>
                                <w:i/>
                                <w:kern w:val="2"/>
                                <w:sz w:val="18"/>
                                <w:szCs w:val="20"/>
                              </w:rPr>
                            </m:ctrlPr>
                          </m:e>
                          <m:sub>
                            <m:r>
                              <m:rPr>
                                <m:nor/>
                                <m:sty m:val="p"/>
                              </m:rPr>
                              <w:rPr>
                                <w:rFonts w:hint="default" w:ascii="Cambria Math" w:hAnsi="Cambria Math" w:eastAsia="MS Mincho"/>
                                <w:b w:val="0"/>
                                <w:i w:val="0"/>
                                <w:kern w:val="2"/>
                                <w:sz w:val="18"/>
                                <w:szCs w:val="20"/>
                              </w:rPr>
                              <m:t>BWP</m:t>
                            </m:r>
                            <m:ctrlPr>
                              <w:rPr>
                                <w:rFonts w:hint="default" w:ascii="Cambria Math" w:hAnsi="Cambria Math" w:eastAsia="MS Mincho"/>
                                <w:i/>
                                <w:kern w:val="2"/>
                                <w:sz w:val="18"/>
                                <w:szCs w:val="20"/>
                              </w:rPr>
                            </m:ctrlPr>
                          </m:sub>
                          <m:sup>
                            <m:r>
                              <m:rPr>
                                <m:nor/>
                                <m:sty m:val="p"/>
                              </m:rPr>
                              <w:rPr>
                                <w:rFonts w:hint="default" w:ascii="Cambria Math" w:hAnsi="Cambria Math" w:eastAsia="MS Mincho"/>
                                <w:b w:val="0"/>
                                <w:i w:val="0"/>
                                <w:kern w:val="2"/>
                                <w:sz w:val="18"/>
                                <w:szCs w:val="20"/>
                              </w:rPr>
                              <m:t>size</m:t>
                            </m:r>
                            <m:ctrlPr>
                              <w:rPr>
                                <w:rFonts w:hint="default" w:ascii="Cambria Math" w:hAnsi="Cambria Math" w:eastAsia="MS Mincho"/>
                                <w:i/>
                                <w:kern w:val="2"/>
                                <w:sz w:val="18"/>
                                <w:szCs w:val="20"/>
                              </w:rPr>
                            </m:ctrlPr>
                          </m:sup>
                        </m:sSubSup>
                        <m:ctrlPr>
                          <w:rPr>
                            <w:rFonts w:hint="default" w:ascii="Cambria Math" w:hAnsi="Cambria Math" w:eastAsia="MS Mincho"/>
                            <w:i/>
                            <w:kern w:val="2"/>
                            <w:sz w:val="20"/>
                            <w:szCs w:val="20"/>
                          </w:rPr>
                        </m:ctrlPr>
                      </m:num>
                      <m:den>
                        <m:r>
                          <m:rPr/>
                          <w:rPr>
                            <w:rFonts w:hint="default" w:ascii="Cambria Math" w:hAnsi="Cambria Math" w:eastAsia="MS Mincho"/>
                            <w:kern w:val="2"/>
                            <w:sz w:val="18"/>
                            <w:szCs w:val="20"/>
                          </w:rPr>
                          <m:t>4</m:t>
                        </m:r>
                        <m:ctrlPr>
                          <w:rPr>
                            <w:rFonts w:hint="default" w:ascii="Cambria Math" w:hAnsi="Cambria Math" w:eastAsia="MS Mincho"/>
                            <w:i/>
                            <w:kern w:val="2"/>
                            <w:sz w:val="20"/>
                            <w:szCs w:val="20"/>
                          </w:rPr>
                        </m:ctrlPr>
                      </m:den>
                    </m:f>
                    <m:ctrlPr>
                      <w:rPr>
                        <w:rFonts w:hint="default" w:ascii="Cambria Math" w:hAnsi="Cambria Math" w:eastAsia="MS Mincho"/>
                        <w:i/>
                        <w:kern w:val="2"/>
                        <w:sz w:val="20"/>
                        <w:szCs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noWrap w:val="0"/>
            <w:vAlign w:val="center"/>
          </w:tcPr>
          <w:p>
            <w:pPr>
              <w:keepNext/>
              <w:keepLines/>
              <w:widowControl/>
              <w:suppressLineNumbers w:val="0"/>
              <w:autoSpaceDE/>
              <w:autoSpaceDN/>
              <w:adjustRightInd/>
              <w:snapToGrid/>
              <w:spacing w:beforeAutospacing="0" w:after="0" w:afterAutospacing="0"/>
              <w:ind w:right="0"/>
              <w:jc w:val="center"/>
              <w:rPr>
                <w:rFonts w:hint="eastAsia" w:ascii="Arial" w:hAnsi="Arial"/>
                <w:sz w:val="18"/>
                <w:szCs w:val="20"/>
              </w:rPr>
            </w:pPr>
          </w:p>
        </w:tc>
        <w:tc>
          <w:tcPr>
            <w:tcW w:w="0" w:type="auto"/>
            <w:noWrap w:val="0"/>
            <w:vAlign w:val="center"/>
          </w:tcPr>
          <w:p>
            <w:pPr>
              <w:keepNext/>
              <w:keepLines/>
              <w:widowControl/>
              <w:suppressLineNumbers w:val="0"/>
              <w:autoSpaceDE/>
              <w:autoSpaceDN/>
              <w:adjustRightInd/>
              <w:snapToGrid/>
              <w:spacing w:beforeAutospacing="0" w:after="0" w:afterAutospacing="0"/>
              <w:ind w:right="0"/>
              <w:jc w:val="center"/>
              <w:rPr>
                <w:rFonts w:hint="eastAsia" w:ascii="Arial" w:hAnsi="Arial"/>
                <w:sz w:val="18"/>
                <w:szCs w:val="20"/>
              </w:rPr>
            </w:pPr>
            <w:r>
              <w:rPr>
                <w:rFonts w:hint="eastAsia" w:ascii="Arial" w:hAnsi="Arial"/>
                <w:sz w:val="18"/>
                <w:szCs w:val="20"/>
              </w:rPr>
              <w:t>10</w:t>
            </w:r>
          </w:p>
        </w:tc>
        <w:tc>
          <w:tcPr>
            <w:tcW w:w="0" w:type="auto"/>
            <w:noWrap w:val="0"/>
            <w:vAlign w:val="center"/>
          </w:tcPr>
          <w:p>
            <w:pPr>
              <w:keepNext/>
              <w:keepLines/>
              <w:widowControl/>
              <w:suppressLineNumbers w:val="0"/>
              <w:autoSpaceDE/>
              <w:autoSpaceDN/>
              <w:adjustRightInd/>
              <w:snapToGrid/>
              <w:spacing w:beforeAutospacing="0" w:after="0" w:afterAutospacing="0"/>
              <w:ind w:right="0"/>
              <w:jc w:val="center"/>
              <w:rPr>
                <w:rFonts w:hint="eastAsia"/>
                <w:sz w:val="18"/>
                <w:szCs w:val="20"/>
              </w:rPr>
            </w:pPr>
            <m:oMathPara>
              <m:oMath>
                <m:r>
                  <m:rPr/>
                  <w:rPr>
                    <w:rFonts w:hint="default" w:ascii="Cambria Math" w:hAnsi="Cambria Math" w:eastAsia="MS Mincho"/>
                    <w:kern w:val="2"/>
                    <w:sz w:val="20"/>
                    <w:szCs w:val="20"/>
                  </w:rPr>
                  <m:t>−</m:t>
                </m:r>
                <m:d>
                  <m:dPr>
                    <m:begChr m:val="⌊"/>
                    <m:endChr m:val="⌋"/>
                    <m:ctrlPr>
                      <w:rPr>
                        <w:rFonts w:hint="default" w:ascii="Cambria Math" w:hAnsi="Cambria Math" w:eastAsia="MS Mincho"/>
                        <w:i/>
                        <w:kern w:val="2"/>
                        <w:sz w:val="20"/>
                        <w:szCs w:val="20"/>
                      </w:rPr>
                    </m:ctrlPr>
                  </m:dPr>
                  <m:e>
                    <m:f>
                      <m:fPr>
                        <m:type m:val="lin"/>
                        <m:ctrlPr>
                          <w:rPr>
                            <w:rFonts w:hint="default" w:ascii="Cambria Math" w:hAnsi="Cambria Math" w:eastAsia="MS Mincho"/>
                            <w:i/>
                            <w:kern w:val="2"/>
                            <w:sz w:val="20"/>
                            <w:szCs w:val="20"/>
                          </w:rPr>
                        </m:ctrlPr>
                      </m:fPr>
                      <m:num>
                        <m:sSubSup>
                          <m:sSubSupPr>
                            <m:ctrlPr>
                              <w:rPr>
                                <w:rFonts w:hint="default" w:ascii="Cambria Math" w:hAnsi="Cambria Math" w:eastAsia="MS Mincho"/>
                                <w:i/>
                                <w:kern w:val="2"/>
                                <w:sz w:val="18"/>
                                <w:szCs w:val="20"/>
                              </w:rPr>
                            </m:ctrlPr>
                          </m:sSubSupPr>
                          <m:e>
                            <m:r>
                              <m:rPr/>
                              <w:rPr>
                                <w:rFonts w:hint="default" w:ascii="Cambria Math" w:hAnsi="Cambria Math" w:eastAsia="MS Mincho"/>
                                <w:kern w:val="2"/>
                                <w:sz w:val="18"/>
                                <w:szCs w:val="20"/>
                              </w:rPr>
                              <m:t>N</m:t>
                            </m:r>
                            <m:ctrlPr>
                              <w:rPr>
                                <w:rFonts w:hint="default" w:ascii="Cambria Math" w:hAnsi="Cambria Math" w:eastAsia="MS Mincho"/>
                                <w:i/>
                                <w:kern w:val="2"/>
                                <w:sz w:val="18"/>
                                <w:szCs w:val="20"/>
                              </w:rPr>
                            </m:ctrlPr>
                          </m:e>
                          <m:sub>
                            <m:r>
                              <m:rPr>
                                <m:nor/>
                                <m:sty m:val="p"/>
                              </m:rPr>
                              <w:rPr>
                                <w:rFonts w:hint="default" w:ascii="Cambria Math" w:hAnsi="Cambria Math" w:eastAsia="MS Mincho"/>
                                <w:b w:val="0"/>
                                <w:i w:val="0"/>
                                <w:kern w:val="2"/>
                                <w:sz w:val="18"/>
                                <w:szCs w:val="20"/>
                              </w:rPr>
                              <m:t>BWP</m:t>
                            </m:r>
                            <m:ctrlPr>
                              <w:rPr>
                                <w:rFonts w:hint="default" w:ascii="Cambria Math" w:hAnsi="Cambria Math" w:eastAsia="MS Mincho"/>
                                <w:i/>
                                <w:kern w:val="2"/>
                                <w:sz w:val="18"/>
                                <w:szCs w:val="20"/>
                              </w:rPr>
                            </m:ctrlPr>
                          </m:sub>
                          <m:sup>
                            <m:r>
                              <m:rPr>
                                <m:nor/>
                                <m:sty m:val="p"/>
                              </m:rPr>
                              <w:rPr>
                                <w:rFonts w:hint="default" w:ascii="Cambria Math" w:hAnsi="Cambria Math" w:eastAsia="MS Mincho"/>
                                <w:b w:val="0"/>
                                <w:i w:val="0"/>
                                <w:kern w:val="2"/>
                                <w:sz w:val="18"/>
                                <w:szCs w:val="20"/>
                              </w:rPr>
                              <m:t>size</m:t>
                            </m:r>
                            <m:ctrlPr>
                              <w:rPr>
                                <w:rFonts w:hint="default" w:ascii="Cambria Math" w:hAnsi="Cambria Math" w:eastAsia="MS Mincho"/>
                                <w:i/>
                                <w:kern w:val="2"/>
                                <w:sz w:val="18"/>
                                <w:szCs w:val="20"/>
                              </w:rPr>
                            </m:ctrlPr>
                          </m:sup>
                        </m:sSubSup>
                        <m:ctrlPr>
                          <w:rPr>
                            <w:rFonts w:hint="default" w:ascii="Cambria Math" w:hAnsi="Cambria Math" w:eastAsia="MS Mincho"/>
                            <w:i/>
                            <w:kern w:val="2"/>
                            <w:sz w:val="20"/>
                            <w:szCs w:val="20"/>
                          </w:rPr>
                        </m:ctrlPr>
                      </m:num>
                      <m:den>
                        <m:r>
                          <m:rPr/>
                          <w:rPr>
                            <w:rFonts w:hint="default" w:ascii="Cambria Math" w:hAnsi="Cambria Math" w:eastAsia="MS Mincho"/>
                            <w:kern w:val="2"/>
                            <w:sz w:val="18"/>
                            <w:szCs w:val="20"/>
                          </w:rPr>
                          <m:t>4</m:t>
                        </m:r>
                        <m:ctrlPr>
                          <w:rPr>
                            <w:rFonts w:hint="default" w:ascii="Cambria Math" w:hAnsi="Cambria Math" w:eastAsia="MS Mincho"/>
                            <w:i/>
                            <w:kern w:val="2"/>
                            <w:sz w:val="20"/>
                            <w:szCs w:val="20"/>
                          </w:rPr>
                        </m:ctrlPr>
                      </m:den>
                    </m:f>
                    <m:ctrlPr>
                      <w:rPr>
                        <w:rFonts w:hint="default" w:ascii="Cambria Math" w:hAnsi="Cambria Math" w:eastAsia="MS Mincho"/>
                        <w:i/>
                        <w:kern w:val="2"/>
                        <w:sz w:val="20"/>
                        <w:szCs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noWrap w:val="0"/>
            <w:vAlign w:val="center"/>
          </w:tcPr>
          <w:p>
            <w:pPr>
              <w:keepNext/>
              <w:keepLines/>
              <w:widowControl/>
              <w:suppressLineNumbers w:val="0"/>
              <w:autoSpaceDE/>
              <w:autoSpaceDN/>
              <w:adjustRightInd/>
              <w:snapToGrid/>
              <w:spacing w:beforeAutospacing="0" w:after="0" w:afterAutospacing="0"/>
              <w:ind w:right="0"/>
              <w:jc w:val="center"/>
              <w:rPr>
                <w:rFonts w:hint="eastAsia" w:ascii="Arial" w:hAnsi="Arial"/>
                <w:sz w:val="18"/>
                <w:szCs w:val="20"/>
              </w:rPr>
            </w:pPr>
          </w:p>
        </w:tc>
        <w:tc>
          <w:tcPr>
            <w:tcW w:w="0" w:type="auto"/>
            <w:noWrap w:val="0"/>
            <w:vAlign w:val="center"/>
          </w:tcPr>
          <w:p>
            <w:pPr>
              <w:keepNext/>
              <w:keepLines/>
              <w:widowControl/>
              <w:suppressLineNumbers w:val="0"/>
              <w:autoSpaceDE/>
              <w:autoSpaceDN/>
              <w:adjustRightInd/>
              <w:snapToGrid/>
              <w:spacing w:beforeAutospacing="0" w:after="0" w:afterAutospacing="0"/>
              <w:ind w:right="0"/>
              <w:jc w:val="center"/>
              <w:rPr>
                <w:rFonts w:hint="eastAsia" w:ascii="Arial" w:hAnsi="Arial"/>
                <w:sz w:val="18"/>
                <w:szCs w:val="20"/>
              </w:rPr>
            </w:pPr>
            <w:r>
              <w:rPr>
                <w:rFonts w:hint="eastAsia" w:ascii="Arial" w:hAnsi="Arial"/>
                <w:sz w:val="18"/>
                <w:szCs w:val="20"/>
              </w:rPr>
              <w:t>11</w:t>
            </w:r>
          </w:p>
        </w:tc>
        <w:tc>
          <w:tcPr>
            <w:tcW w:w="0" w:type="auto"/>
            <w:noWrap w:val="0"/>
            <w:vAlign w:val="center"/>
          </w:tcPr>
          <w:p>
            <w:pPr>
              <w:keepNext/>
              <w:keepLines/>
              <w:widowControl/>
              <w:suppressLineNumbers w:val="0"/>
              <w:autoSpaceDE/>
              <w:autoSpaceDN/>
              <w:adjustRightInd/>
              <w:snapToGrid/>
              <w:spacing w:beforeAutospacing="0" w:after="0" w:afterAutospacing="0"/>
              <w:ind w:right="0"/>
              <w:jc w:val="center"/>
              <w:rPr>
                <w:rFonts w:hint="eastAsia" w:ascii="Arial" w:hAnsi="Arial" w:cs="Arial"/>
                <w:sz w:val="18"/>
                <w:szCs w:val="20"/>
              </w:rPr>
            </w:pPr>
            <w:r>
              <w:rPr>
                <w:rFonts w:hint="eastAsia" w:ascii="Arial" w:hAnsi="Arial" w:cs="Arial"/>
                <w:sz w:val="18"/>
                <w:szCs w:val="20"/>
              </w:rPr>
              <w:t>Reserved</w:t>
            </w:r>
          </w:p>
        </w:tc>
      </w:tr>
      <w:bookmarkEnd w:id="5"/>
    </w:tbl>
    <w:p>
      <w:pPr>
        <w:spacing w:before="0" w:after="0" w:afterLines="50" w:line="360" w:lineRule="auto"/>
        <w:jc w:val="both"/>
        <w:rPr>
          <w:rFonts w:hint="default"/>
          <w:lang w:val="en-US" w:eastAsia="zh-CN"/>
        </w:rPr>
      </w:pPr>
      <w:r>
        <w:rPr>
          <w:rFonts w:hint="default"/>
          <w:lang w:val="en-US" w:eastAsia="zh-CN"/>
        </w:rPr>
        <w:t xml:space="preserve">To sum up, it can be seen that when </w:t>
      </w:r>
      <m:oMath>
        <m:sSubSup>
          <m:sSubSupPr>
            <m:ctrlPr>
              <w:rPr>
                <w:rFonts w:hint="default" w:ascii="Cambria Math" w:hAnsi="Cambria Math" w:eastAsia="MS Mincho"/>
                <w:i/>
                <w:kern w:val="2"/>
                <w:sz w:val="20"/>
              </w:rPr>
            </m:ctrlPr>
          </m:sSubSupPr>
          <m:e>
            <m:r>
              <m:rPr/>
              <w:rPr>
                <w:rFonts w:hint="default" w:ascii="Cambria Math" w:hAnsi="Cambria Math" w:eastAsia="MS Mincho"/>
                <w:kern w:val="2"/>
                <w:sz w:val="20"/>
              </w:rPr>
              <m:t>N</m:t>
            </m:r>
            <m:ctrlPr>
              <w:rPr>
                <w:rFonts w:hint="default" w:ascii="Cambria Math" w:hAnsi="Cambria Math" w:eastAsia="MS Mincho"/>
                <w:i/>
                <w:kern w:val="2"/>
                <w:sz w:val="20"/>
              </w:rPr>
            </m:ctrlPr>
          </m:e>
          <m:sub>
            <m:r>
              <m:rPr>
                <m:nor/>
                <m:sty m:val="p"/>
              </m:rPr>
              <w:rPr>
                <w:rFonts w:hint="default" w:ascii="Cambria Math" w:hAnsi="Cambria Math" w:eastAsia="MS Mincho"/>
                <w:b w:val="0"/>
                <w:i w:val="0"/>
                <w:kern w:val="2"/>
                <w:sz w:val="20"/>
              </w:rPr>
              <m:t>BWP</m:t>
            </m:r>
            <m:ctrlPr>
              <w:rPr>
                <w:rFonts w:hint="default" w:ascii="Cambria Math" w:hAnsi="Cambria Math" w:eastAsia="MS Mincho"/>
                <w:i/>
                <w:kern w:val="2"/>
                <w:sz w:val="20"/>
              </w:rPr>
            </m:ctrlPr>
          </m:sub>
          <m:sup>
            <m:r>
              <m:rPr>
                <m:nor/>
                <m:sty m:val="p"/>
              </m:rPr>
              <w:rPr>
                <w:rFonts w:hint="default" w:ascii="Cambria Math" w:hAnsi="Cambria Math" w:eastAsia="MS Mincho"/>
                <w:b w:val="0"/>
                <w:i w:val="0"/>
                <w:kern w:val="2"/>
                <w:sz w:val="20"/>
              </w:rPr>
              <m:t>size</m:t>
            </m:r>
            <m:ctrlPr>
              <w:rPr>
                <w:rFonts w:hint="default" w:ascii="Cambria Math" w:hAnsi="Cambria Math" w:eastAsia="MS Mincho"/>
                <w:i/>
                <w:kern w:val="2"/>
                <w:sz w:val="20"/>
              </w:rPr>
            </m:ctrlPr>
          </m:sup>
        </m:sSubSup>
      </m:oMath>
      <w:r>
        <w:rPr>
          <w:rFonts w:hint="eastAsia" w:hAnsi="Cambria Math"/>
          <w:i w:val="0"/>
          <w:kern w:val="2"/>
          <w:sz w:val="20"/>
          <w:lang w:val="en-US" w:eastAsia="zh-CN"/>
        </w:rPr>
        <w:t xml:space="preserve"> </w:t>
      </w:r>
      <w:r>
        <w:rPr>
          <w:rFonts w:hint="eastAsia"/>
          <w:lang w:val="en-US" w:eastAsia="zh-CN"/>
        </w:rPr>
        <w:t xml:space="preserve">is larger than </w:t>
      </w:r>
      <w:r>
        <w:rPr>
          <w:rFonts w:hint="default"/>
          <w:lang w:val="en-US" w:eastAsia="zh-CN"/>
        </w:rPr>
        <w:t xml:space="preserve">50 PRBs, </w:t>
      </w:r>
      <w:r>
        <w:rPr>
          <w:rFonts w:hint="eastAsia"/>
          <w:lang w:val="en-US" w:eastAsia="zh-CN"/>
        </w:rPr>
        <w:t xml:space="preserve">at most </w:t>
      </w:r>
      <w:r>
        <w:rPr>
          <w:rFonts w:hint="default"/>
          <w:lang w:val="en-US" w:eastAsia="zh-CN"/>
        </w:rPr>
        <w:t xml:space="preserve">12 bits can be used to indicate the frequency range of the eRedcap UE. However, according to the </w:t>
      </w:r>
      <w:r>
        <w:rPr>
          <w:rFonts w:hint="default"/>
          <w:lang w:val="en-US" w:eastAsia="zh-CN"/>
        </w:rPr>
        <w:object>
          <v:shape id="_x0000_i1025" o:spt="75" type="#_x0000_t75" style="height:18.75pt;width:13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default"/>
          <w:lang w:val="en-US" w:eastAsia="zh-CN"/>
        </w:rPr>
        <w:t xml:space="preserve">, it can be seen that if the bandwidth is 20MHz, some RBs in the entire bandwidth cannot be indicated by the frequency domain resource allocation field. Therefore, the frequency hopping range of Msg3 of the R18 eRedcap UE is very limited. </w:t>
      </w:r>
      <w:r>
        <w:rPr>
          <w:rFonts w:hint="eastAsia"/>
          <w:lang w:val="en-US" w:eastAsia="zh-CN"/>
        </w:rPr>
        <w:t xml:space="preserve">Thus, </w:t>
      </w:r>
      <w:r>
        <w:rPr>
          <w:rFonts w:hint="default"/>
          <w:lang w:val="en-US" w:eastAsia="zh-CN"/>
        </w:rPr>
        <w:t>it is necessary to study how to improve the Msg3 frequency hopping range of R18 eRedcap UE.</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4  H</w:t>
      </w:r>
      <w:r>
        <w:rPr>
          <w:rFonts w:hint="default"/>
          <w:b/>
          <w:sz w:val="21"/>
          <w:szCs w:val="22"/>
          <w:lang w:val="en-US" w:eastAsia="zh-CN"/>
        </w:rPr>
        <w:t>ow to improve the</w:t>
      </w:r>
      <w:r>
        <w:rPr>
          <w:rFonts w:hint="eastAsia"/>
          <w:b/>
          <w:sz w:val="21"/>
          <w:szCs w:val="22"/>
          <w:lang w:val="en-US" w:eastAsia="zh-CN"/>
        </w:rPr>
        <w:t xml:space="preserve"> </w:t>
      </w:r>
      <w:r>
        <w:rPr>
          <w:rFonts w:hint="default"/>
          <w:b/>
          <w:sz w:val="21"/>
          <w:szCs w:val="22"/>
          <w:lang w:val="en-US" w:eastAsia="zh-CN"/>
        </w:rPr>
        <w:t>Msg3 frequency hopping range of R18 eRedcap UE should be studied</w:t>
      </w:r>
      <w:r>
        <w:rPr>
          <w:rFonts w:hint="eastAsia"/>
          <w:b/>
          <w:sz w:val="21"/>
          <w:szCs w:val="22"/>
          <w:lang w:val="en-US" w:eastAsia="zh-CN"/>
        </w:rPr>
        <w:t>.</w:t>
      </w:r>
    </w:p>
    <w:p>
      <w:pPr>
        <w:pStyle w:val="3"/>
        <w:spacing w:before="240" w:beforeLines="-2147483648" w:after="180" w:afterLines="-2147483648" w:line="240" w:lineRule="auto"/>
        <w:ind w:left="573" w:hanging="573"/>
        <w:jc w:val="left"/>
        <w:rPr>
          <w:rFonts w:hint="eastAsia"/>
          <w:lang w:val="en-US" w:eastAsia="zh-CN"/>
        </w:rPr>
      </w:pPr>
      <w:r>
        <w:rPr>
          <w:b w:val="0"/>
          <w:bCs w:val="0"/>
          <w:lang w:val="en-US" w:eastAsia="zh-CN"/>
        </w:rPr>
        <w:t>UE peak data rate reduction</w:t>
      </w:r>
    </w:p>
    <w:p>
      <w:pPr>
        <w:spacing w:before="0" w:after="0" w:afterLines="50" w:line="360" w:lineRule="auto"/>
        <w:jc w:val="both"/>
        <w:rPr>
          <w:rFonts w:ascii="Times New Roman" w:hAnsi="Times New Roman" w:cs="Times New Roman"/>
          <w:b/>
          <w:sz w:val="20"/>
          <w:szCs w:val="20"/>
          <w:lang w:val="en-US"/>
        </w:rPr>
      </w:pPr>
      <w:r>
        <w:rPr>
          <w:rFonts w:hint="eastAsia"/>
          <w:b w:val="0"/>
          <w:bCs w:val="0"/>
          <w:lang w:val="en-US" w:eastAsia="zh-CN"/>
        </w:rPr>
        <w:t xml:space="preserve">In </w:t>
      </w:r>
      <w:r>
        <w:rPr>
          <w:rFonts w:hint="default"/>
          <w:b w:val="0"/>
          <w:bCs w:val="0"/>
          <w:lang w:val="en-US" w:eastAsia="zh-CN"/>
        </w:rPr>
        <w:t>RAN#100[2], the WID for eRedcap UE is revised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rPr>
            </w:pPr>
            <w:r>
              <w:rPr>
                <w:rFonts w:hint="eastAsia"/>
                <w:sz w:val="20"/>
                <w:szCs w:val="20"/>
              </w:rPr>
              <w:t>Objective of Core part WI</w:t>
            </w:r>
          </w:p>
          <w:p>
            <w:pPr>
              <w:keepNext w:val="0"/>
              <w:keepLines w:val="0"/>
              <w:widowControl/>
              <w:suppressLineNumbers w:val="0"/>
              <w:overflowPunct w:val="0"/>
              <w:autoSpaceDE w:val="0"/>
              <w:autoSpaceDN w:val="0"/>
              <w:adjustRightInd w:val="0"/>
              <w:spacing w:beforeAutospacing="0" w:afterAutospacing="0"/>
              <w:ind w:right="-99"/>
              <w:textAlignment w:val="baseline"/>
              <w:rPr>
                <w:rFonts w:hint="eastAsia"/>
                <w:b/>
                <w:bCs/>
                <w:sz w:val="20"/>
                <w:szCs w:val="20"/>
                <w:lang w:eastAsia="ja-JP"/>
              </w:rPr>
            </w:pPr>
            <w:r>
              <w:rPr>
                <w:rFonts w:hint="eastAsia"/>
                <w:b/>
                <w:bCs/>
                <w:sz w:val="20"/>
                <w:szCs w:val="20"/>
                <w:lang w:eastAsia="ja-JP"/>
              </w:rPr>
              <w:t>Complexity/cost reduction</w:t>
            </w:r>
          </w:p>
          <w:p>
            <w:pPr>
              <w:keepNext w:val="0"/>
              <w:keepLines w:val="0"/>
              <w:widowControl/>
              <w:numPr>
                <w:ilvl w:val="0"/>
                <w:numId w:val="12"/>
              </w:numPr>
              <w:suppressLineNumbers w:val="0"/>
              <w:overflowPunct w:val="0"/>
              <w:autoSpaceDE w:val="0"/>
              <w:autoSpaceDN w:val="0"/>
              <w:adjustRightInd w:val="0"/>
              <w:spacing w:beforeAutospacing="0" w:afterAutospacing="0"/>
              <w:ind w:right="-99"/>
              <w:textAlignment w:val="baseline"/>
              <w:rPr>
                <w:rFonts w:hint="eastAsia"/>
                <w:sz w:val="20"/>
                <w:szCs w:val="20"/>
                <w:lang w:eastAsia="ja-JP"/>
              </w:rPr>
            </w:pPr>
            <w:r>
              <w:rPr>
                <w:rFonts w:hint="eastAsia"/>
                <w:sz w:val="20"/>
                <w:szCs w:val="20"/>
                <w:lang w:eastAsia="ja-JP"/>
              </w:rPr>
              <w:t>Further reduced UE complexity in FR1 [RAN1, RAN2, RAN4]</w:t>
            </w:r>
          </w:p>
          <w:p>
            <w:pPr>
              <w:pStyle w:val="31"/>
              <w:keepNext w:val="0"/>
              <w:keepLines w:val="0"/>
              <w:widowControl/>
              <w:numPr>
                <w:ilvl w:val="1"/>
                <w:numId w:val="13"/>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UE peak data rate reduction and UE BB bandwidth reduction (FG 48-1)</w:t>
            </w:r>
          </w:p>
          <w:p>
            <w:pPr>
              <w:pStyle w:val="31"/>
              <w:keepNext w:val="0"/>
              <w:keepLines w:val="0"/>
              <w:widowControl/>
              <w:numPr>
                <w:ilvl w:val="2"/>
                <w:numId w:val="13"/>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Reduced (25 PRBs for 15 kHz SCS and 12 PRBs for 30 kHz SCS) BB bandwidth only for PDSCH (for both unicast and broadcast) and PUSCH, with 20 MHz RF bandwidth for UL and DL</w:t>
            </w:r>
          </w:p>
          <w:p>
            <w:pPr>
              <w:pStyle w:val="31"/>
              <w:keepNext w:val="0"/>
              <w:keepLines w:val="0"/>
              <w:widowControl/>
              <w:numPr>
                <w:ilvl w:val="2"/>
                <w:numId w:val="13"/>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The other physical channels and signals are still allowed to use a BWP up to the 20 MHz maximum UE RF+BB bandwidth.</w:t>
            </w:r>
          </w:p>
          <w:p>
            <w:pPr>
              <w:keepNext w:val="0"/>
              <w:keepLines w:val="0"/>
              <w:widowControl/>
              <w:numPr>
                <w:ilvl w:val="2"/>
                <w:numId w:val="13"/>
              </w:numPr>
              <w:suppressLineNumbers w:val="0"/>
              <w:overflowPunct w:val="0"/>
              <w:autoSpaceDE w:val="0"/>
              <w:autoSpaceDN w:val="0"/>
              <w:adjustRightInd w:val="0"/>
              <w:spacing w:beforeAutospacing="0" w:afterAutospacing="0"/>
              <w:ind w:right="-99"/>
              <w:textAlignment w:val="baseline"/>
              <w:rPr>
                <w:rFonts w:hint="eastAsia"/>
                <w:sz w:val="20"/>
                <w:szCs w:val="20"/>
                <w:lang w:eastAsia="ja-JP"/>
              </w:rPr>
            </w:pPr>
            <w:r>
              <w:rPr>
                <w:rFonts w:hint="eastAsia"/>
                <w:sz w:val="20"/>
                <w:szCs w:val="20"/>
                <w:lang w:eastAsia="ja-JP"/>
              </w:rPr>
              <w:t>Support additional separate early indication(s) [RAN1, RAN2]</w:t>
            </w:r>
          </w:p>
          <w:p>
            <w:pPr>
              <w:pStyle w:val="31"/>
              <w:keepNext w:val="0"/>
              <w:keepLines w:val="0"/>
              <w:widowControl/>
              <w:numPr>
                <w:ilvl w:val="2"/>
                <w:numId w:val="13"/>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Relaxation of the constraint (</w:t>
            </w:r>
            <w:r>
              <w:rPr>
                <w:rFonts w:hint="eastAsia"/>
                <w:i/>
                <w:iCs/>
                <w:sz w:val="20"/>
                <w:szCs w:val="20"/>
                <w:lang w:val="en-US"/>
              </w:rPr>
              <w:t>v</w:t>
            </w:r>
            <w:r>
              <w:rPr>
                <w:rFonts w:hint="eastAsia"/>
                <w:i/>
                <w:iCs/>
                <w:sz w:val="20"/>
                <w:szCs w:val="20"/>
                <w:vertAlign w:val="subscript"/>
                <w:lang w:val="en-US"/>
              </w:rPr>
              <w:t>Layers</w:t>
            </w:r>
            <w:r>
              <w:rPr>
                <w:rFonts w:hint="eastAsia"/>
                <w:sz w:val="20"/>
                <w:szCs w:val="20"/>
                <w:lang w:val="en-US"/>
              </w:rPr>
              <w:t>·</w:t>
            </w:r>
            <w:r>
              <w:rPr>
                <w:rFonts w:hint="eastAsia"/>
                <w:i/>
                <w:iCs/>
                <w:sz w:val="20"/>
                <w:szCs w:val="20"/>
                <w:lang w:val="en-US"/>
              </w:rPr>
              <w:t>Q</w:t>
            </w:r>
            <w:r>
              <w:rPr>
                <w:rFonts w:hint="eastAsia"/>
                <w:i/>
                <w:iCs/>
                <w:sz w:val="20"/>
                <w:szCs w:val="20"/>
                <w:vertAlign w:val="subscript"/>
                <w:lang w:val="en-US"/>
              </w:rPr>
              <w:t>m</w:t>
            </w:r>
            <w:r>
              <w:rPr>
                <w:rFonts w:hint="eastAsia"/>
                <w:sz w:val="20"/>
                <w:szCs w:val="20"/>
                <w:lang w:val="en-US"/>
              </w:rPr>
              <w:t>·</w:t>
            </w:r>
            <w:r>
              <w:rPr>
                <w:rFonts w:hint="eastAsia"/>
                <w:i/>
                <w:iCs/>
                <w:sz w:val="20"/>
                <w:szCs w:val="20"/>
                <w:lang w:val="en-US"/>
              </w:rPr>
              <w:t>f</w:t>
            </w:r>
            <w:r>
              <w:rPr>
                <w:rFonts w:hint="eastAsia"/>
                <w:sz w:val="20"/>
                <w:szCs w:val="20"/>
                <w:lang w:val="en-US"/>
              </w:rPr>
              <w:t xml:space="preserve"> ≥ 4) for peak data rate reduction to 10 Mbps</w:t>
            </w:r>
          </w:p>
          <w:p>
            <w:pPr>
              <w:pStyle w:val="31"/>
              <w:keepNext w:val="0"/>
              <w:keepLines w:val="0"/>
              <w:widowControl/>
              <w:numPr>
                <w:ilvl w:val="2"/>
                <w:numId w:val="13"/>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The parameters (</w:t>
            </w:r>
            <w:r>
              <w:rPr>
                <w:rFonts w:hint="eastAsia"/>
                <w:i/>
                <w:iCs/>
                <w:sz w:val="20"/>
                <w:szCs w:val="20"/>
                <w:lang w:val="en-US"/>
              </w:rPr>
              <w:t>v</w:t>
            </w:r>
            <w:r>
              <w:rPr>
                <w:rFonts w:hint="eastAsia"/>
                <w:i/>
                <w:iCs/>
                <w:sz w:val="20"/>
                <w:szCs w:val="20"/>
                <w:vertAlign w:val="subscript"/>
                <w:lang w:val="en-US"/>
              </w:rPr>
              <w:t>Layers</w:t>
            </w:r>
            <w:r>
              <w:rPr>
                <w:rFonts w:hint="eastAsia"/>
                <w:sz w:val="20"/>
                <w:szCs w:val="20"/>
                <w:lang w:val="en-US"/>
              </w:rPr>
              <w:t xml:space="preserve">, </w:t>
            </w:r>
            <w:r>
              <w:rPr>
                <w:rFonts w:hint="eastAsia"/>
                <w:i/>
                <w:iCs/>
                <w:sz w:val="20"/>
                <w:szCs w:val="20"/>
                <w:lang w:val="en-US"/>
              </w:rPr>
              <w:t>Q</w:t>
            </w:r>
            <w:r>
              <w:rPr>
                <w:rFonts w:hint="eastAsia"/>
                <w:i/>
                <w:iCs/>
                <w:sz w:val="20"/>
                <w:szCs w:val="20"/>
                <w:vertAlign w:val="subscript"/>
                <w:lang w:val="en-US"/>
              </w:rPr>
              <w:t>m</w:t>
            </w:r>
            <w:r>
              <w:rPr>
                <w:rFonts w:hint="eastAsia"/>
                <w:sz w:val="20"/>
                <w:szCs w:val="20"/>
                <w:lang w:val="en-US"/>
              </w:rPr>
              <w:t xml:space="preserve">, </w:t>
            </w:r>
            <w:r>
              <w:rPr>
                <w:rFonts w:hint="eastAsia"/>
                <w:i/>
                <w:iCs/>
                <w:sz w:val="20"/>
                <w:szCs w:val="20"/>
                <w:lang w:val="en-US"/>
              </w:rPr>
              <w:t>f</w:t>
            </w:r>
            <w:r>
              <w:rPr>
                <w:rFonts w:hint="eastAsia"/>
                <w:sz w:val="20"/>
                <w:szCs w:val="20"/>
                <w:lang w:val="en-US"/>
              </w:rPr>
              <w:t>) can be as in Rel-17 RedCap.</w:t>
            </w:r>
          </w:p>
          <w:p>
            <w:pPr>
              <w:pStyle w:val="31"/>
              <w:keepNext w:val="0"/>
              <w:keepLines w:val="0"/>
              <w:widowControl/>
              <w:numPr>
                <w:ilvl w:val="1"/>
                <w:numId w:val="13"/>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UE peak data rate reduction without UE BB bandwidth reduction (FG 48-2)</w:t>
            </w:r>
          </w:p>
          <w:p>
            <w:pPr>
              <w:pStyle w:val="31"/>
              <w:keepNext w:val="0"/>
              <w:keepLines w:val="0"/>
              <w:widowControl/>
              <w:numPr>
                <w:ilvl w:val="2"/>
                <w:numId w:val="13"/>
              </w:numPr>
              <w:suppressLineNumbers w:val="0"/>
              <w:overflowPunct w:val="0"/>
              <w:autoSpaceDE w:val="0"/>
              <w:autoSpaceDN w:val="0"/>
              <w:adjustRightInd w:val="0"/>
              <w:spacing w:beforeAutospacing="0" w:afterAutospacing="0"/>
              <w:ind w:right="0"/>
              <w:textAlignment w:val="baseline"/>
              <w:rPr>
                <w:rFonts w:hint="eastAsia"/>
                <w:sz w:val="20"/>
                <w:szCs w:val="20"/>
                <w:highlight w:val="green"/>
                <w:lang w:val="en-US"/>
              </w:rPr>
            </w:pPr>
            <w:r>
              <w:rPr>
                <w:rFonts w:hint="eastAsia"/>
                <w:sz w:val="20"/>
                <w:szCs w:val="20"/>
                <w:highlight w:val="green"/>
                <w:lang w:val="en-US"/>
              </w:rPr>
              <w:t>FGs 48-1 and 48-2 are designed/targeted to same peak data rate, i.e., 10 Mbps.</w:t>
            </w:r>
          </w:p>
          <w:p>
            <w:pPr>
              <w:pStyle w:val="31"/>
              <w:keepNext w:val="0"/>
              <w:keepLines w:val="0"/>
              <w:widowControl/>
              <w:numPr>
                <w:ilvl w:val="2"/>
                <w:numId w:val="13"/>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Note 1: Peak data rate of FGs 48-1 and 48-2 is same including unicast and broadcast respectively.</w:t>
            </w:r>
          </w:p>
          <w:p>
            <w:pPr>
              <w:pStyle w:val="31"/>
              <w:keepNext w:val="0"/>
              <w:keepLines w:val="0"/>
              <w:widowControl/>
              <w:numPr>
                <w:ilvl w:val="2"/>
                <w:numId w:val="13"/>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Note 2: PRB processing capability of FG 48-2 is not limited to “25 PRBs for 15 kHz SCS and 12 PRBs for 30 kHz SCS” and it corresponds to PRB size corresponding to 20 MHz.</w:t>
            </w:r>
          </w:p>
          <w:p>
            <w:pPr>
              <w:pStyle w:val="31"/>
              <w:keepNext w:val="0"/>
              <w:keepLines w:val="0"/>
              <w:widowControl/>
              <w:numPr>
                <w:ilvl w:val="2"/>
                <w:numId w:val="13"/>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 xml:space="preserve">Note 3: The only difference between FGs 48-1 and 48-2 is Note 2 and </w:t>
            </w:r>
            <w:r>
              <w:rPr>
                <w:rFonts w:hint="eastAsia"/>
                <w:i/>
                <w:iCs/>
                <w:sz w:val="20"/>
                <w:szCs w:val="20"/>
                <w:lang w:val="en-US"/>
              </w:rPr>
              <w:t>v</w:t>
            </w:r>
            <w:r>
              <w:rPr>
                <w:rFonts w:hint="eastAsia"/>
                <w:i/>
                <w:iCs/>
                <w:sz w:val="20"/>
                <w:szCs w:val="20"/>
                <w:vertAlign w:val="subscript"/>
                <w:lang w:val="en-US"/>
              </w:rPr>
              <w:t>Layers</w:t>
            </w:r>
            <w:r>
              <w:rPr>
                <w:rFonts w:hint="eastAsia"/>
                <w:sz w:val="20"/>
                <w:szCs w:val="20"/>
                <w:lang w:val="en-US"/>
              </w:rPr>
              <w:t>·</w:t>
            </w:r>
            <w:r>
              <w:rPr>
                <w:rFonts w:hint="eastAsia"/>
                <w:i/>
                <w:iCs/>
                <w:sz w:val="20"/>
                <w:szCs w:val="20"/>
                <w:lang w:val="en-US"/>
              </w:rPr>
              <w:t>Q</w:t>
            </w:r>
            <w:r>
              <w:rPr>
                <w:rFonts w:hint="eastAsia"/>
                <w:i/>
                <w:iCs/>
                <w:sz w:val="20"/>
                <w:szCs w:val="20"/>
                <w:vertAlign w:val="subscript"/>
                <w:lang w:val="en-US"/>
              </w:rPr>
              <w:t>m</w:t>
            </w:r>
            <w:r>
              <w:rPr>
                <w:rFonts w:hint="eastAsia"/>
                <w:sz w:val="20"/>
                <w:szCs w:val="20"/>
                <w:lang w:val="en-US"/>
              </w:rPr>
              <w:t>·</w:t>
            </w:r>
            <w:r>
              <w:rPr>
                <w:rFonts w:hint="eastAsia"/>
                <w:i/>
                <w:iCs/>
                <w:sz w:val="20"/>
                <w:szCs w:val="20"/>
                <w:lang w:val="en-US"/>
              </w:rPr>
              <w:t>f</w:t>
            </w:r>
            <w:r>
              <w:rPr>
                <w:rFonts w:hint="eastAsia"/>
                <w:sz w:val="20"/>
                <w:szCs w:val="20"/>
                <w:lang w:val="en-US"/>
              </w:rPr>
              <w:t xml:space="preserve"> in order to have the same peak rate.</w:t>
            </w:r>
          </w:p>
          <w:p>
            <w:pPr>
              <w:pStyle w:val="31"/>
              <w:keepNext w:val="0"/>
              <w:keepLines w:val="0"/>
              <w:widowControl/>
              <w:numPr>
                <w:ilvl w:val="2"/>
                <w:numId w:val="13"/>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Note 4: The initial access procedure for FG 48-2 is the same as for FG 48-1.</w:t>
            </w:r>
          </w:p>
          <w:p>
            <w:pPr>
              <w:pStyle w:val="29"/>
              <w:keepNext w:val="0"/>
              <w:keepLines w:val="0"/>
              <w:widowControl/>
              <w:numPr>
                <w:ilvl w:val="1"/>
                <w:numId w:val="13"/>
              </w:numPr>
              <w:suppressLineNumbers w:val="0"/>
              <w:overflowPunct w:val="0"/>
              <w:autoSpaceDE w:val="0"/>
              <w:autoSpaceDN w:val="0"/>
              <w:adjustRightInd w:val="0"/>
              <w:spacing w:beforeAutospacing="0" w:afterAutospacing="0"/>
              <w:ind w:right="0"/>
              <w:textAlignment w:val="baseline"/>
              <w:rPr>
                <w:rFonts w:hint="eastAsia"/>
                <w:sz w:val="20"/>
                <w:szCs w:val="20"/>
                <w:lang w:val="en-US" w:eastAsia="ja-JP"/>
              </w:rPr>
            </w:pPr>
            <w:r>
              <w:rPr>
                <w:rFonts w:hint="eastAsia"/>
                <w:sz w:val="20"/>
                <w:szCs w:val="20"/>
                <w:lang w:val="en-US" w:eastAsia="ja-JP"/>
              </w:rPr>
              <w:t>Both 15 kHz SCS and 30 kHz SCS are supported.</w:t>
            </w:r>
          </w:p>
          <w:p>
            <w:pPr>
              <w:pStyle w:val="29"/>
              <w:keepNext w:val="0"/>
              <w:keepLines w:val="0"/>
              <w:widowControl/>
              <w:numPr>
                <w:ilvl w:val="1"/>
                <w:numId w:val="13"/>
              </w:numPr>
              <w:suppressLineNumbers w:val="0"/>
              <w:overflowPunct w:val="0"/>
              <w:autoSpaceDE w:val="0"/>
              <w:autoSpaceDN w:val="0"/>
              <w:adjustRightInd w:val="0"/>
              <w:spacing w:beforeAutospacing="0" w:afterAutospacing="0"/>
              <w:ind w:right="0"/>
              <w:textAlignment w:val="baseline"/>
              <w:rPr>
                <w:rFonts w:hint="eastAsia"/>
                <w:sz w:val="20"/>
                <w:szCs w:val="20"/>
                <w:lang w:val="en-US" w:eastAsia="ja-JP"/>
              </w:rPr>
            </w:pPr>
            <w:r>
              <w:rPr>
                <w:rFonts w:hint="eastAsia"/>
                <w:sz w:val="20"/>
                <w:szCs w:val="20"/>
                <w:lang w:val="en-US" w:eastAsia="ja-JP"/>
              </w:rPr>
              <w:t>Aim to define at most one Rel-18 RedCap UE type for further UE complexity reduction.</w:t>
            </w:r>
          </w:p>
          <w:p>
            <w:pPr>
              <w:keepNext w:val="0"/>
              <w:keepLines w:val="0"/>
              <w:widowControl/>
              <w:numPr>
                <w:ilvl w:val="1"/>
                <w:numId w:val="13"/>
              </w:numPr>
              <w:suppressLineNumbers w:val="0"/>
              <w:overflowPunct w:val="0"/>
              <w:autoSpaceDE w:val="0"/>
              <w:autoSpaceDN w:val="0"/>
              <w:adjustRightInd w:val="0"/>
              <w:spacing w:beforeAutospacing="0" w:afterAutospacing="0"/>
              <w:ind w:right="-99"/>
              <w:textAlignment w:val="baseline"/>
              <w:rPr>
                <w:rFonts w:hint="eastAsia"/>
                <w:sz w:val="20"/>
                <w:szCs w:val="20"/>
                <w:lang w:eastAsia="ja-JP"/>
              </w:rPr>
            </w:pPr>
            <w:r>
              <w:rPr>
                <w:rFonts w:hint="eastAsia"/>
                <w:sz w:val="20"/>
                <w:szCs w:val="20"/>
                <w:lang w:eastAsia="ja-JP"/>
              </w:rPr>
              <w:t>The existing UE capability framework is used, and changes to capability signalling are specified only if necessary. By default, all UE capabilities applicable to a Rel-17 RedCap UE are applicable unless otherwise specified.</w:t>
            </w:r>
          </w:p>
          <w:p>
            <w:pPr>
              <w:keepNext w:val="0"/>
              <w:keepLines w:val="0"/>
              <w:widowControl/>
              <w:numPr>
                <w:ilvl w:val="1"/>
                <w:numId w:val="13"/>
              </w:numPr>
              <w:suppressLineNumbers w:val="0"/>
              <w:overflowPunct w:val="0"/>
              <w:autoSpaceDE w:val="0"/>
              <w:autoSpaceDN w:val="0"/>
              <w:adjustRightInd w:val="0"/>
              <w:spacing w:beforeAutospacing="0" w:afterAutospacing="0"/>
              <w:ind w:right="-99"/>
              <w:textAlignment w:val="baseline"/>
              <w:rPr>
                <w:rFonts w:hint="eastAsia"/>
                <w:sz w:val="20"/>
                <w:szCs w:val="20"/>
                <w:lang w:eastAsia="ja-JP"/>
              </w:rPr>
            </w:pPr>
            <w:r>
              <w:rPr>
                <w:rFonts w:hint="eastAsia"/>
                <w:sz w:val="20"/>
                <w:szCs w:val="20"/>
                <w:lang w:eastAsia="ja-JP"/>
              </w:rPr>
              <w:t>The peak rate target is 10 Mbps regardless of what optional features the UE may support.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lang w:val="en-US" w:eastAsia="zh-CN"/>
              </w:rPr>
            </w:pPr>
          </w:p>
        </w:tc>
      </w:tr>
    </w:tbl>
    <w:p>
      <w:pPr>
        <w:spacing w:before="0" w:after="0" w:afterLines="50" w:line="360" w:lineRule="auto"/>
        <w:jc w:val="both"/>
        <w:rPr>
          <w:b w:val="0"/>
          <w:bCs w:val="0"/>
          <w:lang w:val="en-US" w:eastAsia="zh-CN"/>
        </w:rPr>
      </w:pPr>
      <w:r>
        <w:rPr>
          <w:rFonts w:hint="eastAsia"/>
          <w:b w:val="0"/>
          <w:bCs w:val="0"/>
          <w:lang w:val="en-US" w:eastAsia="zh-CN"/>
        </w:rPr>
        <w:t xml:space="preserve">Moreover, for the product of </w:t>
      </w:r>
      <w:r>
        <w:rPr>
          <w:rFonts w:ascii="Times New Roman" w:hAnsi="Times New Roman"/>
          <w:i/>
          <w:iCs/>
          <w:szCs w:val="20"/>
          <w:lang w:val="en-US" w:eastAsia="zh-CN"/>
        </w:rPr>
        <w:t>v</w:t>
      </w:r>
      <w:r>
        <w:rPr>
          <w:rFonts w:ascii="Times New Roman" w:hAnsi="Times New Roman"/>
          <w:i/>
          <w:iCs/>
          <w:szCs w:val="20"/>
          <w:vertAlign w:val="subscript"/>
          <w:lang w:val="en-US" w:eastAsia="zh-CN"/>
        </w:rPr>
        <w:t>Layers</w:t>
      </w:r>
      <w:r>
        <w:rPr>
          <w:rFonts w:ascii="Times New Roman" w:hAnsi="Times New Roman"/>
          <w:szCs w:val="20"/>
          <w:lang w:val="en-US" w:eastAsia="zh-CN"/>
        </w:rPr>
        <w:t>·</w:t>
      </w:r>
      <w:r>
        <w:rPr>
          <w:rFonts w:ascii="Times New Roman" w:hAnsi="Times New Roman"/>
          <w:i/>
          <w:iCs/>
          <w:szCs w:val="20"/>
          <w:lang w:val="en-US" w:eastAsia="zh-CN"/>
        </w:rPr>
        <w:t>Q</w:t>
      </w:r>
      <w:r>
        <w:rPr>
          <w:rFonts w:ascii="Times New Roman" w:hAnsi="Times New Roman"/>
          <w:i/>
          <w:iCs/>
          <w:szCs w:val="20"/>
          <w:vertAlign w:val="subscript"/>
          <w:lang w:val="en-US" w:eastAsia="zh-CN"/>
        </w:rPr>
        <w:t>m</w:t>
      </w:r>
      <w:r>
        <w:rPr>
          <w:rFonts w:ascii="Times New Roman" w:hAnsi="Times New Roman"/>
          <w:szCs w:val="20"/>
          <w:lang w:val="en-US" w:eastAsia="zh-CN"/>
        </w:rPr>
        <w:t>·</w:t>
      </w:r>
      <w:r>
        <w:rPr>
          <w:rFonts w:ascii="Times New Roman" w:hAnsi="Times New Roman"/>
          <w:i/>
          <w:iCs/>
          <w:szCs w:val="20"/>
          <w:lang w:val="en-US" w:eastAsia="zh-CN"/>
        </w:rPr>
        <w:t>f</w:t>
      </w:r>
      <w:r>
        <w:rPr>
          <w:rFonts w:hint="eastAsia"/>
          <w:i/>
          <w:iCs/>
          <w:szCs w:val="20"/>
          <w:lang w:val="en-US" w:eastAsia="zh-CN"/>
        </w:rPr>
        <w:t xml:space="preserve"> ,</w:t>
      </w:r>
      <w:r>
        <w:rPr>
          <w:rFonts w:hint="eastAsia"/>
          <w:b w:val="0"/>
          <w:bCs w:val="0"/>
          <w:lang w:val="en-US" w:eastAsia="zh-CN"/>
        </w:rPr>
        <w:t xml:space="preserve"> the following agreements were reached.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等线"/>
                <w:sz w:val="20"/>
                <w:szCs w:val="20"/>
                <w:highlight w:val="green"/>
                <w:u w:val="single"/>
                <w:lang w:val="en-US" w:eastAsia="zh-CN"/>
              </w:rPr>
            </w:pPr>
            <w:r>
              <w:rPr>
                <w:rFonts w:hint="eastAsia"/>
                <w:b w:val="0"/>
                <w:bCs w:val="0"/>
                <w:sz w:val="20"/>
                <w:szCs w:val="20"/>
                <w:u w:val="single"/>
                <w:lang w:val="en-US" w:eastAsia="zh-CN"/>
              </w:rPr>
              <w:t xml:space="preserve">RAN1#113[3]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等线"/>
                <w:sz w:val="20"/>
                <w:szCs w:val="20"/>
                <w:highlight w:val="green"/>
                <w:lang w:val="en-US" w:eastAsia="zh-CN"/>
              </w:rPr>
            </w:pPr>
            <w:r>
              <w:rPr>
                <w:rFonts w:hint="eastAsia" w:eastAsia="等线"/>
                <w:sz w:val="20"/>
                <w:szCs w:val="20"/>
                <w:highlight w:val="green"/>
                <w:lang w:val="en-US" w:eastAsia="zh-CN"/>
              </w:rPr>
              <w:t>Agreement</w:t>
            </w:r>
          </w:p>
          <w:p>
            <w:pPr>
              <w:keepNext w:val="0"/>
              <w:keepLines w:val="0"/>
              <w:widowControl/>
              <w:numPr>
                <w:ilvl w:val="0"/>
                <w:numId w:val="14"/>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For UE peak data rate reduction with UE BB bandwidth reduction,</w:t>
            </w:r>
          </w:p>
          <w:p>
            <w:pPr>
              <w:keepNext w:val="0"/>
              <w:keepLines w:val="0"/>
              <w:widowControl/>
              <w:numPr>
                <w:ilvl w:val="1"/>
                <w:numId w:val="14"/>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The 10-Mbps peak rate target corresponds to a </w:t>
            </w:r>
            <w:r>
              <w:rPr>
                <w:rFonts w:hint="eastAsia" w:ascii="Times New Roman" w:hAnsi="Times New Roman"/>
                <w:i/>
                <w:iCs/>
                <w:sz w:val="20"/>
                <w:szCs w:val="20"/>
                <w:lang w:val="en-US" w:eastAsia="zh-CN"/>
              </w:rPr>
              <w:t>v</w:t>
            </w:r>
            <w:r>
              <w:rPr>
                <w:rFonts w:hint="eastAsia" w:ascii="Times New Roman" w:hAnsi="Times New Roman"/>
                <w:i/>
                <w:iCs/>
                <w:sz w:val="20"/>
                <w:szCs w:val="20"/>
                <w:vertAlign w:val="subscript"/>
                <w:lang w:val="en-US" w:eastAsia="zh-CN"/>
              </w:rPr>
              <w:t>Layers</w:t>
            </w:r>
            <w:r>
              <w:rPr>
                <w:rFonts w:hint="eastAsia" w:ascii="Times New Roman" w:hAnsi="Times New Roman"/>
                <w:sz w:val="20"/>
                <w:szCs w:val="20"/>
                <w:lang w:val="en-US" w:eastAsia="zh-CN"/>
              </w:rPr>
              <w:t>·</w:t>
            </w:r>
            <w:r>
              <w:rPr>
                <w:rFonts w:hint="eastAsia" w:ascii="Times New Roman" w:hAnsi="Times New Roman"/>
                <w:i/>
                <w:iCs/>
                <w:sz w:val="20"/>
                <w:szCs w:val="20"/>
                <w:lang w:val="en-US" w:eastAsia="zh-CN"/>
              </w:rPr>
              <w:t>Q</w:t>
            </w:r>
            <w:r>
              <w:rPr>
                <w:rFonts w:hint="eastAsia" w:ascii="Times New Roman" w:hAnsi="Times New Roman"/>
                <w:i/>
                <w:iCs/>
                <w:sz w:val="20"/>
                <w:szCs w:val="20"/>
                <w:vertAlign w:val="subscript"/>
                <w:lang w:val="en-US" w:eastAsia="zh-CN"/>
              </w:rPr>
              <w:t>m</w:t>
            </w:r>
            <w:r>
              <w:rPr>
                <w:rFonts w:hint="eastAsia" w:ascii="Times New Roman" w:hAnsi="Times New Roman"/>
                <w:sz w:val="20"/>
                <w:szCs w:val="20"/>
                <w:lang w:val="en-US" w:eastAsia="zh-CN"/>
              </w:rPr>
              <w:t>·</w:t>
            </w:r>
            <w:r>
              <w:rPr>
                <w:rFonts w:hint="eastAsia" w:ascii="Times New Roman" w:hAnsi="Times New Roman"/>
                <w:i/>
                <w:iCs/>
                <w:sz w:val="20"/>
                <w:szCs w:val="20"/>
                <w:lang w:val="en-US" w:eastAsia="zh-CN"/>
              </w:rPr>
              <w:t>f</w:t>
            </w:r>
            <w:r>
              <w:rPr>
                <w:rFonts w:hint="eastAsia" w:ascii="Times New Roman" w:hAnsi="Times New Roman"/>
                <w:sz w:val="20"/>
                <w:szCs w:val="20"/>
                <w:lang w:val="en-US" w:eastAsia="zh-CN"/>
              </w:rPr>
              <w:t xml:space="preserve"> of 3.2</w:t>
            </w:r>
          </w:p>
          <w:p>
            <w:pPr>
              <w:keepNext w:val="0"/>
              <w:keepLines w:val="0"/>
              <w:widowControl/>
              <w:numPr>
                <w:ilvl w:val="0"/>
                <w:numId w:val="14"/>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For UE peak data rate reduction without UE BB bandwidth reduction,</w:t>
            </w:r>
          </w:p>
          <w:p>
            <w:pPr>
              <w:keepNext w:val="0"/>
              <w:keepLines w:val="0"/>
              <w:widowControl/>
              <w:numPr>
                <w:ilvl w:val="1"/>
                <w:numId w:val="14"/>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The 10-Mbps peak rate target corresponds to a </w:t>
            </w:r>
            <w:r>
              <w:rPr>
                <w:rFonts w:hint="eastAsia" w:ascii="Times New Roman" w:hAnsi="Times New Roman"/>
                <w:i/>
                <w:iCs/>
                <w:sz w:val="20"/>
                <w:szCs w:val="20"/>
                <w:lang w:val="en-US" w:eastAsia="zh-CN"/>
              </w:rPr>
              <w:t>v</w:t>
            </w:r>
            <w:r>
              <w:rPr>
                <w:rFonts w:hint="eastAsia" w:ascii="Times New Roman" w:hAnsi="Times New Roman"/>
                <w:i/>
                <w:iCs/>
                <w:sz w:val="20"/>
                <w:szCs w:val="20"/>
                <w:vertAlign w:val="subscript"/>
                <w:lang w:val="en-US" w:eastAsia="zh-CN"/>
              </w:rPr>
              <w:t>Layers</w:t>
            </w:r>
            <w:r>
              <w:rPr>
                <w:rFonts w:hint="eastAsia" w:ascii="Times New Roman" w:hAnsi="Times New Roman"/>
                <w:sz w:val="20"/>
                <w:szCs w:val="20"/>
                <w:lang w:val="en-US" w:eastAsia="zh-CN"/>
              </w:rPr>
              <w:t>·</w:t>
            </w:r>
            <w:r>
              <w:rPr>
                <w:rFonts w:hint="eastAsia" w:ascii="Times New Roman" w:hAnsi="Times New Roman"/>
                <w:i/>
                <w:iCs/>
                <w:sz w:val="20"/>
                <w:szCs w:val="20"/>
                <w:lang w:val="en-US" w:eastAsia="zh-CN"/>
              </w:rPr>
              <w:t>Q</w:t>
            </w:r>
            <w:r>
              <w:rPr>
                <w:rFonts w:hint="eastAsia" w:ascii="Times New Roman" w:hAnsi="Times New Roman"/>
                <w:i/>
                <w:iCs/>
                <w:sz w:val="20"/>
                <w:szCs w:val="20"/>
                <w:vertAlign w:val="subscript"/>
                <w:lang w:val="en-US" w:eastAsia="zh-CN"/>
              </w:rPr>
              <w:t>m</w:t>
            </w:r>
            <w:r>
              <w:rPr>
                <w:rFonts w:hint="eastAsia" w:ascii="Times New Roman" w:hAnsi="Times New Roman"/>
                <w:sz w:val="20"/>
                <w:szCs w:val="20"/>
                <w:lang w:val="en-US" w:eastAsia="zh-CN"/>
              </w:rPr>
              <w:t>·</w:t>
            </w:r>
            <w:r>
              <w:rPr>
                <w:rFonts w:hint="eastAsia" w:ascii="Times New Roman" w:hAnsi="Times New Roman"/>
                <w:i/>
                <w:iCs/>
                <w:sz w:val="20"/>
                <w:szCs w:val="20"/>
                <w:lang w:val="en-US" w:eastAsia="zh-CN"/>
              </w:rPr>
              <w:t>f</w:t>
            </w:r>
            <w:r>
              <w:rPr>
                <w:rFonts w:hint="eastAsia" w:ascii="Times New Roman" w:hAnsi="Times New Roman"/>
                <w:sz w:val="20"/>
                <w:szCs w:val="20"/>
                <w:lang w:val="en-US" w:eastAsia="zh-CN"/>
              </w:rPr>
              <w:t xml:space="preserve">  of 0.75</w:t>
            </w:r>
          </w:p>
          <w:p>
            <w:pPr>
              <w:keepNext w:val="0"/>
              <w:keepLines w:val="0"/>
              <w:widowControl/>
              <w:numPr>
                <w:ilvl w:val="1"/>
                <w:numId w:val="14"/>
              </w:numPr>
              <w:suppressLineNumbers w:val="0"/>
              <w:overflowPunct w:val="0"/>
              <w:autoSpaceDE w:val="0"/>
              <w:autoSpaceDN w:val="0"/>
              <w:adjustRightInd w:val="0"/>
              <w:spacing w:beforeAutospacing="0" w:after="180" w:afterAutospacing="0" w:line="252" w:lineRule="auto"/>
              <w:ind w:right="0"/>
              <w:contextualSpacing/>
              <w:jc w:val="both"/>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This is assuming 20 MHz bandwidth in the 38.306 peak rate expression.</w:t>
            </w:r>
          </w:p>
          <w:p>
            <w:pPr>
              <w:keepNext w:val="0"/>
              <w:keepLines w:val="0"/>
              <w:widowControl/>
              <w:numPr>
                <w:ilvl w:val="0"/>
                <w:numId w:val="14"/>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Note: This does not imply that downlink MIMO and 256 QAM are not supported</w:t>
            </w:r>
          </w:p>
          <w:p>
            <w:pPr>
              <w:keepNext w:val="0"/>
              <w:keepLines w:val="0"/>
              <w:widowControl/>
              <w:numPr>
                <w:ilvl w:val="-1"/>
                <w:numId w:val="0"/>
              </w:numPr>
              <w:suppressLineNumbers w:val="0"/>
              <w:overflowPunct w:val="0"/>
              <w:autoSpaceDE w:val="0"/>
              <w:autoSpaceDN w:val="0"/>
              <w:adjustRightInd w:val="0"/>
              <w:spacing w:beforeAutospacing="0" w:after="180" w:afterAutospacing="0" w:line="252" w:lineRule="auto"/>
              <w:ind w:left="0" w:right="0" w:firstLine="0"/>
              <w:contextualSpacing/>
              <w:textAlignment w:val="baseline"/>
              <w:rPr>
                <w:rFonts w:hint="eastAsia" w:ascii="Times New Roman" w:hAnsi="Times New Roman"/>
                <w:sz w:val="20"/>
                <w:szCs w:val="20"/>
                <w:lang w:val="en-US" w:eastAsia="zh-CN"/>
              </w:rPr>
            </w:pPr>
          </w:p>
          <w:p>
            <w:pPr>
              <w:keepNext w:val="0"/>
              <w:keepLines w:val="0"/>
              <w:widowControl/>
              <w:numPr>
                <w:ilvl w:val="-1"/>
                <w:numId w:val="0"/>
              </w:numPr>
              <w:suppressLineNumbers w:val="0"/>
              <w:overflowPunct w:val="0"/>
              <w:autoSpaceDE w:val="0"/>
              <w:autoSpaceDN w:val="0"/>
              <w:adjustRightInd w:val="0"/>
              <w:spacing w:beforeAutospacing="0" w:after="180" w:afterAutospacing="0" w:line="252" w:lineRule="auto"/>
              <w:ind w:left="0" w:right="0" w:firstLine="0"/>
              <w:contextualSpacing/>
              <w:textAlignment w:val="baseline"/>
              <w:rPr>
                <w:rFonts w:hint="default"/>
                <w:sz w:val="20"/>
                <w:szCs w:val="20"/>
                <w:u w:val="single"/>
                <w:lang w:val="en-US" w:eastAsia="zh-CN"/>
              </w:rPr>
            </w:pPr>
            <w:r>
              <w:rPr>
                <w:rFonts w:hint="eastAsia"/>
                <w:sz w:val="20"/>
                <w:szCs w:val="20"/>
                <w:u w:val="single"/>
                <w:lang w:val="en-US" w:eastAsia="zh-CN"/>
              </w:rPr>
              <w:t>RAN1#114[1]</w:t>
            </w:r>
          </w:p>
          <w:p>
            <w:pPr>
              <w:keepNext w:val="0"/>
              <w:keepLines w:val="0"/>
              <w:widowControl/>
              <w:suppressLineNumbers w:val="0"/>
              <w:overflowPunct w:val="0"/>
              <w:autoSpaceDE w:val="0"/>
              <w:autoSpaceDN w:val="0"/>
              <w:adjustRightInd w:val="0"/>
              <w:spacing w:beforeAutospacing="0" w:after="0" w:afterAutospacing="0" w:line="240" w:lineRule="auto"/>
              <w:ind w:right="0"/>
              <w:jc w:val="left"/>
              <w:textAlignment w:val="baseline"/>
              <w:rPr>
                <w:rFonts w:hint="eastAsia" w:ascii="Times" w:hAnsi="Times" w:eastAsia="等线"/>
                <w:sz w:val="20"/>
                <w:szCs w:val="24"/>
                <w:highlight w:val="green"/>
                <w:lang w:val="en-US" w:eastAsia="zh-CN"/>
              </w:rPr>
            </w:pPr>
            <w:r>
              <w:rPr>
                <w:rFonts w:hint="eastAsia" w:ascii="Times" w:hAnsi="Times" w:eastAsia="等线"/>
                <w:sz w:val="20"/>
                <w:szCs w:val="24"/>
                <w:highlight w:val="green"/>
                <w:lang w:val="en-US" w:eastAsia="zh-CN"/>
              </w:rPr>
              <w:t>Agreement</w:t>
            </w:r>
          </w:p>
          <w:p>
            <w:pPr>
              <w:keepNext w:val="0"/>
              <w:keepLines w:val="0"/>
              <w:widowControl/>
              <w:numPr>
                <w:ilvl w:val="0"/>
                <w:numId w:val="3"/>
              </w:numPr>
              <w:suppressLineNumbers w:val="0"/>
              <w:overflowPunct w:val="0"/>
              <w:autoSpaceDE w:val="0"/>
              <w:autoSpaceDN w:val="0"/>
              <w:adjustRightInd w:val="0"/>
              <w:spacing w:beforeAutospacing="0" w:after="0" w:afterAutospacing="0" w:line="252" w:lineRule="auto"/>
              <w:ind w:right="0"/>
              <w:contextualSpacing/>
              <w:jc w:val="left"/>
              <w:textAlignment w:val="baseline"/>
              <w:rPr>
                <w:rFonts w:hint="eastAsia"/>
                <w:sz w:val="20"/>
                <w:szCs w:val="20"/>
                <w:lang w:val="en-US" w:eastAsia="zh-CN"/>
              </w:rPr>
            </w:pPr>
            <w:r>
              <w:rPr>
                <w:rFonts w:hint="eastAsia"/>
                <w:sz w:val="20"/>
                <w:szCs w:val="20"/>
                <w:lang w:val="en-US" w:eastAsia="zh-CN"/>
              </w:rPr>
              <w:t xml:space="preserve">The UE needs to signal peak data rate </w:t>
            </w:r>
            <w:r>
              <w:rPr>
                <w:rFonts w:hint="eastAsia"/>
                <w:sz w:val="20"/>
                <w:szCs w:val="20"/>
                <w:lang w:eastAsia="zh-CN"/>
              </w:rPr>
              <w:t>10-Mbps</w:t>
            </w:r>
            <w:r>
              <w:rPr>
                <w:rFonts w:hint="eastAsia"/>
                <w:sz w:val="20"/>
                <w:szCs w:val="20"/>
                <w:lang w:val="en-US" w:eastAsia="zh-CN"/>
              </w:rPr>
              <w:t xml:space="preserve"> related parameters corresponding to </w:t>
            </w:r>
            <w:r>
              <w:rPr>
                <w:rFonts w:hint="eastAsia"/>
                <w:i/>
                <w:iCs/>
                <w:sz w:val="20"/>
                <w:szCs w:val="20"/>
                <w:lang w:val="en-US" w:eastAsia="zh-CN"/>
              </w:rPr>
              <w:t>v</w:t>
            </w:r>
            <w:r>
              <w:rPr>
                <w:rFonts w:hint="eastAsia"/>
                <w:i/>
                <w:iCs/>
                <w:sz w:val="20"/>
                <w:szCs w:val="20"/>
                <w:vertAlign w:val="subscript"/>
                <w:lang w:val="en-US" w:eastAsia="zh-CN"/>
              </w:rPr>
              <w:t>Layers</w:t>
            </w:r>
            <w:r>
              <w:rPr>
                <w:rFonts w:hint="eastAsia"/>
                <w:sz w:val="20"/>
                <w:szCs w:val="20"/>
                <w:lang w:val="en-US" w:eastAsia="zh-CN"/>
              </w:rPr>
              <w:t xml:space="preserve">, </w:t>
            </w:r>
            <w:r>
              <w:rPr>
                <w:rFonts w:hint="eastAsia"/>
                <w:i/>
                <w:iCs/>
                <w:sz w:val="20"/>
                <w:szCs w:val="20"/>
                <w:lang w:val="en-US" w:eastAsia="zh-CN"/>
              </w:rPr>
              <w:t>Q</w:t>
            </w:r>
            <w:r>
              <w:rPr>
                <w:rFonts w:hint="eastAsia"/>
                <w:i/>
                <w:iCs/>
                <w:sz w:val="20"/>
                <w:szCs w:val="20"/>
                <w:vertAlign w:val="subscript"/>
                <w:lang w:val="en-US" w:eastAsia="zh-CN"/>
              </w:rPr>
              <w:t>m</w:t>
            </w:r>
            <w:r>
              <w:rPr>
                <w:rFonts w:hint="eastAsia"/>
                <w:sz w:val="20"/>
                <w:szCs w:val="20"/>
                <w:lang w:val="en-US" w:eastAsia="zh-CN"/>
              </w:rPr>
              <w:t xml:space="preserve"> and </w:t>
            </w:r>
            <w:r>
              <w:rPr>
                <w:rFonts w:hint="eastAsia"/>
                <w:i/>
                <w:iCs/>
                <w:sz w:val="20"/>
                <w:szCs w:val="20"/>
                <w:lang w:val="en-US" w:eastAsia="zh-CN"/>
              </w:rPr>
              <w:t>f</w:t>
            </w:r>
            <w:r>
              <w:rPr>
                <w:rFonts w:hint="eastAsia"/>
                <w:sz w:val="20"/>
                <w:szCs w:val="20"/>
                <w:lang w:val="en-US" w:eastAsia="zh-CN"/>
              </w:rPr>
              <w:t>.</w:t>
            </w:r>
          </w:p>
          <w:p>
            <w:pPr>
              <w:keepNext w:val="0"/>
              <w:keepLines w:val="0"/>
              <w:widowControl/>
              <w:numPr>
                <w:ilvl w:val="1"/>
                <w:numId w:val="3"/>
              </w:numPr>
              <w:suppressLineNumbers w:val="0"/>
              <w:overflowPunct w:val="0"/>
              <w:autoSpaceDE w:val="0"/>
              <w:autoSpaceDN w:val="0"/>
              <w:adjustRightInd w:val="0"/>
              <w:spacing w:beforeAutospacing="0" w:after="0" w:afterAutospacing="0" w:line="252" w:lineRule="auto"/>
              <w:ind w:right="0"/>
              <w:contextualSpacing/>
              <w:jc w:val="left"/>
              <w:textAlignment w:val="baseline"/>
              <w:rPr>
                <w:rFonts w:hint="eastAsia"/>
                <w:sz w:val="20"/>
                <w:szCs w:val="20"/>
                <w:lang w:val="en-US" w:eastAsia="zh-CN"/>
              </w:rPr>
            </w:pPr>
            <w:r>
              <w:rPr>
                <w:rFonts w:hint="eastAsia"/>
                <w:b/>
                <w:bCs/>
                <w:sz w:val="20"/>
                <w:szCs w:val="20"/>
                <w:lang w:eastAsia="zh-CN"/>
              </w:rPr>
              <w:t xml:space="preserve">No new values </w:t>
            </w:r>
            <w:r>
              <w:rPr>
                <w:rFonts w:hint="eastAsia"/>
                <w:sz w:val="20"/>
                <w:szCs w:val="20"/>
                <w:lang w:eastAsia="zh-CN"/>
              </w:rPr>
              <w:t>for the above parameters will be introduced for Rel-18 eRedCap</w:t>
            </w:r>
            <w:r>
              <w:rPr>
                <w:rFonts w:hint="eastAsia"/>
                <w:sz w:val="20"/>
                <w:szCs w:val="20"/>
                <w:lang w:val="en-US" w:eastAsia="zh-CN"/>
              </w:rPr>
              <w:t>.</w:t>
            </w:r>
          </w:p>
          <w:p>
            <w:pPr>
              <w:keepNext w:val="0"/>
              <w:keepLines w:val="0"/>
              <w:widowControl/>
              <w:numPr>
                <w:ilvl w:val="1"/>
                <w:numId w:val="3"/>
              </w:numPr>
              <w:suppressLineNumbers w:val="0"/>
              <w:overflowPunct w:val="0"/>
              <w:autoSpaceDE w:val="0"/>
              <w:autoSpaceDN w:val="0"/>
              <w:adjustRightInd w:val="0"/>
              <w:spacing w:beforeAutospacing="0" w:after="0" w:afterAutospacing="0" w:line="252" w:lineRule="auto"/>
              <w:ind w:right="0"/>
              <w:contextualSpacing/>
              <w:jc w:val="left"/>
              <w:textAlignment w:val="baseline"/>
              <w:rPr>
                <w:rFonts w:hint="eastAsia"/>
                <w:sz w:val="20"/>
                <w:szCs w:val="20"/>
                <w:lang w:val="en-US" w:eastAsia="zh-CN"/>
              </w:rPr>
            </w:pPr>
            <w:r>
              <w:rPr>
                <w:rFonts w:hint="eastAsia"/>
                <w:sz w:val="20"/>
                <w:szCs w:val="20"/>
                <w:lang w:val="en-US" w:eastAsia="zh-CN"/>
              </w:rPr>
              <w:t>For FG 48-2, when</w:t>
            </w:r>
            <w:r>
              <w:rPr>
                <w:rFonts w:hint="eastAsia"/>
                <w:sz w:val="20"/>
                <w:szCs w:val="20"/>
                <w:lang w:eastAsia="zh-CN"/>
              </w:rPr>
              <w:t xml:space="preserve"> </w:t>
            </w:r>
            <w:r>
              <w:rPr>
                <w:rFonts w:hint="eastAsia"/>
                <w:i/>
                <w:iCs/>
                <w:sz w:val="20"/>
                <w:szCs w:val="20"/>
                <w:lang w:val="en-US" w:eastAsia="zh-CN"/>
              </w:rPr>
              <w:t>v</w:t>
            </w:r>
            <w:r>
              <w:rPr>
                <w:rFonts w:hint="eastAsia"/>
                <w:i/>
                <w:iCs/>
                <w:sz w:val="20"/>
                <w:szCs w:val="20"/>
                <w:vertAlign w:val="subscript"/>
                <w:lang w:val="en-US" w:eastAsia="zh-CN"/>
              </w:rPr>
              <w:t>Layers</w:t>
            </w:r>
            <w:r>
              <w:rPr>
                <w:rFonts w:hint="eastAsia"/>
                <w:sz w:val="20"/>
                <w:szCs w:val="20"/>
                <w:lang w:eastAsia="zh-CN"/>
              </w:rPr>
              <w:t xml:space="preserve"> = 2, the peak rate target corresponds to a </w:t>
            </w:r>
            <w:r>
              <w:rPr>
                <w:rFonts w:hint="eastAsia"/>
                <w:i/>
                <w:iCs/>
                <w:sz w:val="20"/>
                <w:szCs w:val="20"/>
                <w:lang w:val="en-US" w:eastAsia="zh-CN"/>
              </w:rPr>
              <w:t>v</w:t>
            </w:r>
            <w:r>
              <w:rPr>
                <w:rFonts w:hint="eastAsia"/>
                <w:i/>
                <w:iCs/>
                <w:sz w:val="20"/>
                <w:szCs w:val="20"/>
                <w:vertAlign w:val="subscript"/>
                <w:lang w:val="en-US" w:eastAsia="zh-CN"/>
              </w:rPr>
              <w:t>Layers</w:t>
            </w:r>
            <w:r>
              <w:rPr>
                <w:rFonts w:hint="eastAsia"/>
                <w:sz w:val="20"/>
                <w:szCs w:val="20"/>
                <w:lang w:eastAsia="zh-CN"/>
              </w:rPr>
              <w:t>·</w:t>
            </w:r>
            <w:r>
              <w:rPr>
                <w:rFonts w:hint="eastAsia"/>
                <w:i/>
                <w:iCs/>
                <w:sz w:val="20"/>
                <w:szCs w:val="20"/>
                <w:lang w:val="en-US" w:eastAsia="zh-CN"/>
              </w:rPr>
              <w:t>Q</w:t>
            </w:r>
            <w:r>
              <w:rPr>
                <w:rFonts w:hint="eastAsia"/>
                <w:i/>
                <w:iCs/>
                <w:sz w:val="20"/>
                <w:szCs w:val="20"/>
                <w:vertAlign w:val="subscript"/>
                <w:lang w:val="en-US" w:eastAsia="zh-CN"/>
              </w:rPr>
              <w:t>m</w:t>
            </w:r>
            <w:r>
              <w:rPr>
                <w:rFonts w:hint="eastAsia"/>
                <w:sz w:val="20"/>
                <w:szCs w:val="20"/>
                <w:lang w:eastAsia="zh-CN"/>
              </w:rPr>
              <w:t>·</w:t>
            </w:r>
            <w:r>
              <w:rPr>
                <w:rFonts w:hint="eastAsia"/>
                <w:i/>
                <w:iCs/>
                <w:sz w:val="20"/>
                <w:szCs w:val="20"/>
                <w:lang w:eastAsia="zh-CN"/>
              </w:rPr>
              <w:t>f</w:t>
            </w:r>
            <w:r>
              <w:rPr>
                <w:rFonts w:hint="eastAsia"/>
                <w:sz w:val="20"/>
                <w:szCs w:val="20"/>
                <w:lang w:eastAsia="zh-CN"/>
              </w:rPr>
              <w:t xml:space="preserve"> of 0.8</w:t>
            </w:r>
            <w:r>
              <w:rPr>
                <w:rFonts w:hint="eastAsia"/>
                <w:sz w:val="20"/>
                <w:szCs w:val="20"/>
                <w:lang w:val="en-US" w:eastAsia="zh-CN"/>
              </w:rPr>
              <w:t xml:space="preserve"> (instead of 0.75).</w:t>
            </w:r>
          </w:p>
          <w:p>
            <w:pPr>
              <w:keepNext w:val="0"/>
              <w:keepLines w:val="0"/>
              <w:widowControl/>
              <w:suppressLineNumbers w:val="0"/>
              <w:overflowPunct w:val="0"/>
              <w:autoSpaceDE w:val="0"/>
              <w:autoSpaceDN w:val="0"/>
              <w:adjustRightInd w:val="0"/>
              <w:spacing w:beforeAutospacing="0" w:afterAutospacing="0" w:line="252" w:lineRule="auto"/>
              <w:ind w:right="0"/>
              <w:contextualSpacing/>
              <w:textAlignment w:val="baseline"/>
              <w:rPr>
                <w:rFonts w:hint="eastAsia" w:ascii="Times" w:hAnsi="Times"/>
                <w:bCs/>
                <w:sz w:val="20"/>
                <w:szCs w:val="22"/>
                <w:lang w:val="en-US" w:eastAsia="zh-CN"/>
              </w:rPr>
            </w:pPr>
            <w:r>
              <w:rPr>
                <w:rFonts w:hint="eastAsia" w:ascii="Times" w:hAnsi="Times"/>
                <w:bCs/>
                <w:sz w:val="20"/>
                <w:szCs w:val="22"/>
                <w:lang w:val="en-US" w:eastAsia="zh-CN"/>
              </w:rPr>
              <w:t>Conclusion</w:t>
            </w:r>
          </w:p>
          <w:p>
            <w:pPr>
              <w:keepNext w:val="0"/>
              <w:keepLines w:val="0"/>
              <w:widowControl/>
              <w:numPr>
                <w:ilvl w:val="0"/>
                <w:numId w:val="4"/>
              </w:numPr>
              <w:suppressLineNumbers w:val="0"/>
              <w:overflowPunct w:val="0"/>
              <w:autoSpaceDE w:val="0"/>
              <w:autoSpaceDN w:val="0"/>
              <w:adjustRightInd w:val="0"/>
              <w:spacing w:beforeAutospacing="0" w:after="0" w:afterAutospacing="0" w:line="252" w:lineRule="auto"/>
              <w:ind w:right="0"/>
              <w:contextualSpacing/>
              <w:jc w:val="left"/>
              <w:textAlignment w:val="baseline"/>
              <w:rPr>
                <w:rFonts w:hint="eastAsia" w:ascii="Times" w:hAnsi="Times"/>
                <w:bCs/>
                <w:sz w:val="20"/>
                <w:szCs w:val="22"/>
                <w:lang w:val="en-US" w:eastAsia="zh-CN"/>
              </w:rPr>
            </w:pPr>
            <w:r>
              <w:rPr>
                <w:rFonts w:hint="eastAsia" w:ascii="Times" w:hAnsi="Times"/>
                <w:bCs/>
                <w:sz w:val="20"/>
                <w:szCs w:val="22"/>
                <w:lang w:val="en-US" w:eastAsia="zh-CN"/>
              </w:rPr>
              <w:t>For Rel-18 eRedCap UEs, the following features are still supported as optional features:</w:t>
            </w:r>
          </w:p>
          <w:p>
            <w:pPr>
              <w:keepNext w:val="0"/>
              <w:keepLines w:val="0"/>
              <w:widowControl/>
              <w:numPr>
                <w:ilvl w:val="1"/>
                <w:numId w:val="5"/>
              </w:numPr>
              <w:suppressLineNumbers w:val="0"/>
              <w:overflowPunct w:val="0"/>
              <w:autoSpaceDE w:val="0"/>
              <w:autoSpaceDN w:val="0"/>
              <w:adjustRightInd w:val="0"/>
              <w:spacing w:beforeAutospacing="0" w:after="0" w:afterAutospacing="0" w:line="252" w:lineRule="auto"/>
              <w:ind w:right="0"/>
              <w:contextualSpacing/>
              <w:jc w:val="left"/>
              <w:textAlignment w:val="baseline"/>
              <w:rPr>
                <w:rFonts w:hint="eastAsia"/>
                <w:bCs/>
                <w:sz w:val="20"/>
                <w:szCs w:val="20"/>
                <w:lang w:val="en-US" w:eastAsia="zh-CN"/>
              </w:rPr>
            </w:pPr>
            <w:r>
              <w:rPr>
                <w:rFonts w:hint="eastAsia"/>
                <w:bCs/>
                <w:sz w:val="20"/>
                <w:szCs w:val="20"/>
                <w:lang w:val="en-US" w:eastAsia="zh-CN"/>
              </w:rPr>
              <w:t>2 Rx branches with DL MIMO</w:t>
            </w:r>
          </w:p>
          <w:p>
            <w:pPr>
              <w:keepNext w:val="0"/>
              <w:keepLines w:val="0"/>
              <w:widowControl/>
              <w:numPr>
                <w:ilvl w:val="1"/>
                <w:numId w:val="5"/>
              </w:numPr>
              <w:suppressLineNumbers w:val="0"/>
              <w:overflowPunct w:val="0"/>
              <w:autoSpaceDE w:val="0"/>
              <w:autoSpaceDN w:val="0"/>
              <w:adjustRightInd w:val="0"/>
              <w:spacing w:beforeAutospacing="0" w:after="0" w:afterAutospacing="0" w:line="252" w:lineRule="auto"/>
              <w:ind w:right="0"/>
              <w:contextualSpacing/>
              <w:jc w:val="left"/>
              <w:textAlignment w:val="baseline"/>
              <w:rPr>
                <w:rFonts w:hint="eastAsia"/>
                <w:bCs/>
                <w:sz w:val="20"/>
                <w:szCs w:val="20"/>
                <w:lang w:val="en-US" w:eastAsia="zh-CN"/>
              </w:rPr>
            </w:pPr>
            <w:r>
              <w:rPr>
                <w:rFonts w:hint="eastAsia"/>
                <w:bCs/>
                <w:sz w:val="20"/>
                <w:szCs w:val="20"/>
                <w:lang w:val="en-US" w:eastAsia="zh-CN"/>
              </w:rPr>
              <w:t>DL 256QAM</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bCs/>
                <w:sz w:val="20"/>
                <w:szCs w:val="20"/>
                <w:vertAlign w:val="baseline"/>
                <w:lang w:val="en-US"/>
              </w:rPr>
            </w:pPr>
          </w:p>
        </w:tc>
      </w:tr>
    </w:tbl>
    <w:p>
      <w:pPr>
        <w:spacing w:before="0" w:after="0" w:afterLines="50" w:line="360" w:lineRule="auto"/>
        <w:jc w:val="both"/>
        <w:rPr>
          <w:rFonts w:hint="eastAsia"/>
          <w:b w:val="0"/>
          <w:bCs w:val="0"/>
          <w:lang w:val="en-US" w:eastAsia="zh-CN"/>
        </w:rPr>
      </w:pPr>
      <w:r>
        <w:rPr>
          <w:rFonts w:hint="eastAsia"/>
          <w:b w:val="0"/>
          <w:bCs w:val="0"/>
          <w:lang w:val="en-US" w:eastAsia="zh-CN"/>
        </w:rPr>
        <w:t xml:space="preserve">Furthermore, according to TS 38.306,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rFonts w:hint="eastAsia"/>
          <w:i w:val="0"/>
          <w:iCs w:val="0"/>
          <w:vertAlign w:val="baseline"/>
          <w:lang w:val="en-US" w:eastAsia="zh-CN"/>
        </w:rPr>
        <w:t xml:space="preserve"> and</w:t>
      </w:r>
      <w:r>
        <w:rPr>
          <w:rFonts w:hint="eastAsia"/>
          <w:lang w:val="en-US" w:eastAsia="zh-CN"/>
        </w:rPr>
        <w:t xml:space="preserve"> </w:t>
      </w:r>
      <w:r>
        <w:rPr>
          <w:i/>
          <w:iCs/>
          <w:lang w:val="en-US"/>
        </w:rPr>
        <w:t>f</w:t>
      </w:r>
      <w:r>
        <w:rPr>
          <w:rFonts w:hint="eastAsia"/>
          <w:i w:val="0"/>
          <w:iCs w:val="0"/>
          <w:lang w:val="en-US" w:eastAsia="zh-CN"/>
        </w:rPr>
        <w:t xml:space="preserve"> are defined as follows </w:t>
      </w:r>
    </w:p>
    <w:p>
      <w:pPr>
        <w:numPr>
          <w:ilvl w:val="0"/>
          <w:numId w:val="15"/>
        </w:numPr>
        <w:tabs>
          <w:tab w:val="left" w:pos="420"/>
          <w:tab w:val="clear" w:pos="1260"/>
        </w:tabs>
        <w:spacing w:before="0" w:after="0" w:afterLines="50" w:line="360" w:lineRule="auto"/>
        <w:ind w:left="840" w:hanging="420"/>
        <w:jc w:val="both"/>
        <w:rPr>
          <w:rFonts w:hint="default"/>
          <w:b w:val="0"/>
          <w:bCs w:val="0"/>
          <w:lang w:val="en-US" w:eastAsia="zh-CN"/>
        </w:rPr>
      </w:pPr>
      <w:r>
        <w:rPr>
          <w:i/>
          <w:iCs/>
          <w:lang w:val="en-US"/>
        </w:rPr>
        <w:t>v</w:t>
      </w:r>
      <w:r>
        <w:rPr>
          <w:i/>
          <w:iCs/>
          <w:vertAlign w:val="subscript"/>
          <w:lang w:val="en-US"/>
        </w:rPr>
        <w:t>Layers</w:t>
      </w:r>
      <w:r>
        <w:rPr>
          <w:lang w:val="en-US"/>
        </w:rPr>
        <w:t>,</w:t>
      </w:r>
      <w:r>
        <w:rPr>
          <w:rFonts w:hint="eastAsia"/>
          <w:b w:val="0"/>
          <w:bCs w:val="0"/>
          <w:lang w:val="en-US" w:eastAsia="zh-CN"/>
        </w:rPr>
        <w:t>is the maximum number of supported layers given by higher layer parameter maxNumberMIMOLayersPDSCH for downlink and maximum of higher layer parameters maxNumberMIMO-LayersCB-PUSCH and maxNumberMIMO-LayersNonCB-PUSCH for uplink</w:t>
      </w:r>
    </w:p>
    <w:p>
      <w:pPr>
        <w:numPr>
          <w:ilvl w:val="0"/>
          <w:numId w:val="15"/>
        </w:numPr>
        <w:tabs>
          <w:tab w:val="left" w:pos="420"/>
          <w:tab w:val="clear" w:pos="1260"/>
        </w:tabs>
        <w:spacing w:before="0" w:after="0" w:afterLines="50" w:line="360" w:lineRule="auto"/>
        <w:ind w:left="840" w:hanging="420"/>
        <w:jc w:val="both"/>
        <w:rPr>
          <w:rFonts w:hint="eastAsia"/>
          <w:b w:val="0"/>
          <w:bCs w:val="0"/>
          <w:lang w:val="en-US" w:eastAsia="zh-CN"/>
        </w:rPr>
      </w:pPr>
      <w:r>
        <w:rPr>
          <w:i/>
          <w:iCs/>
          <w:lang w:val="en-US"/>
        </w:rPr>
        <w:t>Q</w:t>
      </w:r>
      <w:r>
        <w:rPr>
          <w:i/>
          <w:iCs/>
          <w:vertAlign w:val="subscript"/>
          <w:lang w:val="en-US"/>
        </w:rPr>
        <w:t>m</w:t>
      </w:r>
      <w:r>
        <w:rPr>
          <w:rFonts w:hint="eastAsia"/>
          <w:b w:val="0"/>
          <w:bCs w:val="0"/>
          <w:lang w:val="en-US" w:eastAsia="zh-CN"/>
        </w:rPr>
        <w:t xml:space="preserve"> is the maximum supported modulation order given by higher layer parameter supportedModulationOrderDL for downlink and higher layer parameter supportedModulationOrderUL for uplink.</w:t>
      </w:r>
    </w:p>
    <w:p>
      <w:pPr>
        <w:numPr>
          <w:ilvl w:val="0"/>
          <w:numId w:val="15"/>
        </w:numPr>
        <w:tabs>
          <w:tab w:val="left" w:pos="420"/>
          <w:tab w:val="clear" w:pos="1260"/>
        </w:tabs>
        <w:spacing w:before="0" w:after="0" w:afterLines="50" w:line="360" w:lineRule="auto"/>
        <w:ind w:left="840" w:hanging="420"/>
        <w:jc w:val="both"/>
        <w:rPr>
          <w:rFonts w:hint="default"/>
          <w:b w:val="0"/>
          <w:bCs w:val="0"/>
          <w:lang w:val="en-US" w:eastAsia="zh-CN"/>
        </w:rPr>
      </w:pPr>
      <w:r>
        <w:rPr>
          <w:i/>
          <w:iCs/>
          <w:lang w:val="en-US"/>
        </w:rPr>
        <w:t xml:space="preserve">f </w:t>
      </w:r>
      <w:r>
        <w:rPr>
          <w:rFonts w:hint="eastAsia"/>
          <w:b w:val="0"/>
          <w:bCs w:val="0"/>
          <w:lang w:val="en-US" w:eastAsia="zh-CN"/>
        </w:rPr>
        <w:t>is the scaling factor given by higher layer parameter scalingFactor or scalingFactor-1024QAM-FR1 and can take the values 1, 0.8, 0.75, and 0.4.</w:t>
      </w:r>
    </w:p>
    <w:p>
      <w:pPr>
        <w:spacing w:before="0" w:after="0" w:afterLines="50" w:line="360" w:lineRule="auto"/>
        <w:jc w:val="both"/>
        <w:rPr>
          <w:rFonts w:ascii="Times New Roman" w:hAnsi="Times New Roman" w:eastAsia="宋体" w:cs="Times New Roman"/>
          <w:szCs w:val="21"/>
          <w:u w:val="none"/>
        </w:rPr>
      </w:pPr>
      <w:r>
        <w:rPr>
          <w:rFonts w:ascii="Times New Roman" w:hAnsi="Times New Roman" w:eastAsia="宋体" w:cs="Times New Roman"/>
          <w:szCs w:val="21"/>
          <w:u w:val="none"/>
        </w:rPr>
        <w:t xml:space="preserve">Therefore, if DL 256 QAM is an optional feature </w:t>
      </w:r>
      <w:r>
        <w:rPr>
          <w:rFonts w:hint="eastAsia" w:cs="Times New Roman"/>
          <w:szCs w:val="21"/>
          <w:u w:val="none"/>
          <w:lang w:val="en-US" w:eastAsia="zh-CN"/>
        </w:rPr>
        <w:t>for</w:t>
      </w:r>
      <w:r>
        <w:rPr>
          <w:rFonts w:ascii="Times New Roman" w:hAnsi="Times New Roman" w:eastAsia="宋体" w:cs="Times New Roman"/>
          <w:szCs w:val="21"/>
          <w:u w:val="none"/>
        </w:rPr>
        <w:t xml:space="preserve"> Rel-18 eRedCap UEs, and as agreed </w:t>
      </w:r>
      <w:r>
        <w:rPr>
          <w:rFonts w:hint="eastAsia" w:cs="Times New Roman"/>
          <w:szCs w:val="21"/>
          <w:u w:val="none"/>
          <w:lang w:val="en-US" w:eastAsia="zh-CN"/>
        </w:rPr>
        <w:t>in</w:t>
      </w:r>
      <w:r>
        <w:rPr>
          <w:rFonts w:ascii="Times New Roman" w:hAnsi="Times New Roman" w:eastAsia="宋体" w:cs="Times New Roman"/>
          <w:szCs w:val="21"/>
          <w:u w:val="none"/>
        </w:rPr>
        <w:t xml:space="preserve"> the last meeting, the calculation of the peak rate does not introduce new parameter values, </w:t>
      </w:r>
      <w:r>
        <w:rPr>
          <w:rFonts w:hint="eastAsia" w:cs="Times New Roman"/>
          <w:szCs w:val="21"/>
          <w:u w:val="none"/>
          <w:lang w:val="en-US" w:eastAsia="zh-CN"/>
        </w:rPr>
        <w:t xml:space="preserve">then </w:t>
      </w:r>
      <w:r>
        <w:rPr>
          <w:rFonts w:ascii="Times New Roman" w:hAnsi="Times New Roman" w:eastAsia="宋体" w:cs="Times New Roman"/>
          <w:szCs w:val="21"/>
          <w:u w:val="none"/>
        </w:rPr>
        <w:t xml:space="preserve">the optional feature </w:t>
      </w:r>
      <w:r>
        <w:rPr>
          <w:rFonts w:hint="eastAsia" w:cs="Times New Roman"/>
          <w:szCs w:val="21"/>
          <w:u w:val="none"/>
          <w:lang w:val="en-US" w:eastAsia="zh-CN"/>
        </w:rPr>
        <w:t xml:space="preserve">of DL </w:t>
      </w:r>
      <w:r>
        <w:rPr>
          <w:rFonts w:ascii="Times New Roman" w:hAnsi="Times New Roman" w:eastAsia="宋体" w:cs="Times New Roman"/>
          <w:szCs w:val="21"/>
          <w:u w:val="none"/>
        </w:rPr>
        <w:t xml:space="preserve">256 QAM is only applicable to FG-1, not </w:t>
      </w:r>
      <w:r>
        <w:rPr>
          <w:rFonts w:hint="eastAsia" w:cs="Times New Roman"/>
          <w:szCs w:val="21"/>
          <w:u w:val="none"/>
          <w:lang w:val="en-US" w:eastAsia="zh-CN"/>
        </w:rPr>
        <w:t>s</w:t>
      </w:r>
      <w:r>
        <w:rPr>
          <w:rFonts w:ascii="Times New Roman" w:hAnsi="Times New Roman" w:eastAsia="宋体" w:cs="Times New Roman"/>
          <w:szCs w:val="21"/>
          <w:u w:val="none"/>
        </w:rPr>
        <w:t>uitable for</w:t>
      </w:r>
      <w:r>
        <w:rPr>
          <w:rFonts w:hint="default" w:ascii="Times New Roman" w:hAnsi="Times New Roman" w:eastAsia="宋体" w:cs="Times New Roman"/>
          <w:szCs w:val="21"/>
          <w:u w:val="none"/>
        </w:rPr>
        <w:t xml:space="preserve"> FG-2.</w:t>
      </w:r>
      <w:bookmarkStart w:id="6" w:name="_GoBack"/>
      <w:bookmarkEnd w:id="6"/>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5  The optional feature of DL 256 QAM is only applicable to FG-1, not suitable for FG-2.</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60" w:beforeLines="0" w:after="60" w:afterLines="0" w:line="360" w:lineRule="auto"/>
        <w:jc w:val="both"/>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In this contribution,</w:t>
      </w:r>
      <w:r>
        <w:rPr>
          <w:rFonts w:hint="eastAsia" w:ascii="Times New Roman" w:hAnsi="Times New Roman" w:cs="Times New Roman"/>
          <w:sz w:val="21"/>
          <w:szCs w:val="22"/>
          <w:lang w:val="en-US" w:eastAsia="zh-CN"/>
        </w:rPr>
        <w:t xml:space="preserve"> </w:t>
      </w:r>
      <w:r>
        <w:rPr>
          <w:rFonts w:hint="default" w:ascii="Times New Roman" w:hAnsi="Times New Roman" w:cs="Times New Roman"/>
          <w:sz w:val="21"/>
          <w:szCs w:val="22"/>
          <w:lang w:val="en-US" w:eastAsia="zh-CN"/>
        </w:rPr>
        <w:t xml:space="preserve">the </w:t>
      </w:r>
      <w:r>
        <w:rPr>
          <w:rFonts w:hint="eastAsia" w:cs="Times New Roman"/>
          <w:sz w:val="21"/>
          <w:szCs w:val="22"/>
          <w:lang w:val="en-US" w:eastAsia="zh-CN"/>
        </w:rPr>
        <w:t xml:space="preserve">remaining issues of </w:t>
      </w:r>
      <w:r>
        <w:rPr>
          <w:rFonts w:hint="default" w:ascii="Times New Roman" w:hAnsi="Times New Roman" w:cs="Times New Roman"/>
          <w:sz w:val="21"/>
          <w:szCs w:val="22"/>
          <w:lang w:val="en-US" w:eastAsia="zh-CN"/>
        </w:rPr>
        <w:t xml:space="preserve">UE complexity reduction </w:t>
      </w:r>
      <w:r>
        <w:rPr>
          <w:rFonts w:hint="eastAsia" w:ascii="Times New Roman" w:hAnsi="Times New Roman" w:cs="Times New Roman"/>
          <w:sz w:val="21"/>
          <w:szCs w:val="22"/>
          <w:lang w:val="en-US" w:eastAsia="zh-CN"/>
        </w:rPr>
        <w:t xml:space="preserve">are discussed, </w:t>
      </w:r>
      <w:r>
        <w:rPr>
          <w:rFonts w:hint="default" w:ascii="Times New Roman" w:hAnsi="Times New Roman" w:cs="Times New Roman"/>
          <w:sz w:val="21"/>
          <w:szCs w:val="22"/>
          <w:lang w:val="en-US" w:eastAsia="zh-CN"/>
        </w:rPr>
        <w:t>and the following</w:t>
      </w:r>
      <w:r>
        <w:rPr>
          <w:rFonts w:hint="eastAsia"/>
          <w:b w:val="0"/>
          <w:sz w:val="21"/>
          <w:szCs w:val="22"/>
          <w:lang w:val="en-US" w:eastAsia="zh-CN"/>
        </w:rPr>
        <w:t xml:space="preserve"> </w:t>
      </w:r>
      <w:r>
        <w:rPr>
          <w:rFonts w:hint="default" w:ascii="Times New Roman" w:hAnsi="Times New Roman" w:cs="Times New Roman"/>
          <w:sz w:val="21"/>
          <w:szCs w:val="22"/>
          <w:lang w:val="en-US" w:eastAsia="zh-CN"/>
        </w:rPr>
        <w:t>proposals are made.</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1  In </w:t>
      </w:r>
      <w:r>
        <w:rPr>
          <w:rFonts w:hint="eastAsia"/>
          <w:b/>
          <w:sz w:val="21"/>
          <w:szCs w:val="21"/>
          <w:lang w:val="en-US" w:eastAsia="zh-CN"/>
        </w:rPr>
        <w:t xml:space="preserve">the </w:t>
      </w:r>
      <w:r>
        <w:rPr>
          <w:rFonts w:hint="default"/>
          <w:b/>
          <w:sz w:val="21"/>
          <w:szCs w:val="21"/>
          <w:lang w:val="en-US" w:eastAsia="zh-CN"/>
        </w:rPr>
        <w:t>RRC INACTIVE</w:t>
      </w:r>
      <w:r>
        <w:rPr>
          <w:rFonts w:hint="eastAsia"/>
          <w:b/>
          <w:sz w:val="21"/>
          <w:szCs w:val="21"/>
          <w:lang w:val="en-US" w:eastAsia="zh-CN"/>
        </w:rPr>
        <w:t xml:space="preserve"> state</w:t>
      </w:r>
      <w:r>
        <w:rPr>
          <w:rFonts w:hint="default"/>
          <w:b/>
          <w:sz w:val="21"/>
          <w:szCs w:val="21"/>
          <w:lang w:val="en-US" w:eastAsia="zh-CN"/>
        </w:rPr>
        <w:t xml:space="preserve">, for UE BB bandwidth reduction, the number of PRBs scheduled in DCI can be larger than 25 PRBs for 15 kHz SCS and 12 PRBs for 30 kHz SCS for multicast MBS PDSCH. </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2  In </w:t>
      </w:r>
      <w:r>
        <w:rPr>
          <w:rFonts w:hint="eastAsia"/>
          <w:b/>
          <w:sz w:val="21"/>
          <w:szCs w:val="21"/>
          <w:lang w:val="en-US" w:eastAsia="zh-CN"/>
        </w:rPr>
        <w:t xml:space="preserve">the </w:t>
      </w:r>
      <w:r>
        <w:rPr>
          <w:rFonts w:hint="default"/>
          <w:b/>
          <w:sz w:val="21"/>
          <w:szCs w:val="21"/>
          <w:lang w:val="en-US" w:eastAsia="zh-CN"/>
        </w:rPr>
        <w:t>RRC CONNECTED</w:t>
      </w:r>
      <w:r>
        <w:rPr>
          <w:rFonts w:hint="eastAsia"/>
          <w:b/>
          <w:sz w:val="21"/>
          <w:szCs w:val="21"/>
          <w:lang w:val="en-US" w:eastAsia="zh-CN"/>
        </w:rPr>
        <w:t xml:space="preserve"> state</w:t>
      </w:r>
      <w:r>
        <w:rPr>
          <w:rFonts w:hint="default"/>
          <w:b/>
          <w:sz w:val="21"/>
          <w:szCs w:val="21"/>
          <w:lang w:val="en-US" w:eastAsia="zh-CN"/>
        </w:rPr>
        <w:t>, for UE BB bandwidth reduction, the number of PRBs scheduled in DCI can be larger than 25 PRBs for 15 kHz SCS and 12 PRBs for 30 kHz SCS for multicast MBS PDSCH without HARQ feedback.</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3  In </w:t>
      </w:r>
      <w:r>
        <w:rPr>
          <w:rFonts w:hint="eastAsia"/>
          <w:b/>
          <w:sz w:val="21"/>
          <w:szCs w:val="21"/>
          <w:lang w:val="en-US" w:eastAsia="zh-CN"/>
        </w:rPr>
        <w:t xml:space="preserve">the </w:t>
      </w:r>
      <w:r>
        <w:rPr>
          <w:rFonts w:hint="default"/>
          <w:b/>
          <w:sz w:val="21"/>
          <w:szCs w:val="21"/>
          <w:lang w:val="en-US" w:eastAsia="zh-CN"/>
        </w:rPr>
        <w:t>RRC CONNECTED</w:t>
      </w:r>
      <w:r>
        <w:rPr>
          <w:rFonts w:hint="eastAsia"/>
          <w:b/>
          <w:sz w:val="21"/>
          <w:szCs w:val="21"/>
          <w:lang w:val="en-US" w:eastAsia="zh-CN"/>
        </w:rPr>
        <w:t xml:space="preserve"> state</w:t>
      </w:r>
      <w:r>
        <w:rPr>
          <w:rFonts w:hint="default"/>
          <w:b/>
          <w:sz w:val="21"/>
          <w:szCs w:val="21"/>
          <w:lang w:val="en-US" w:eastAsia="zh-CN"/>
        </w:rPr>
        <w:t>, for UE BB bandwidth reduction, the number of PRBs scheduled in DCI can not be greater than 25 PRBs for 15 kHz SCS and 12 PRBs for 30 kHz SCS for multicast MBS PDSCH with HARQ feedback.</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Proposal 4  How to improve the Msg3 frequency hopping range of R18 eRedcap UE should be studied.</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Proposal 5  The optional feature of DL 256 QAM is only applicable to FG-1, not suitable for FG-2.</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3"/>
        <w:numPr>
          <w:ilvl w:val="0"/>
          <w:numId w:val="16"/>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 Report of 3GPP TSG RAN WG1 #114 v0.1.0” , RAN1#11</w:t>
      </w:r>
      <w:r>
        <w:rPr>
          <w:rFonts w:hint="eastAsia" w:ascii="Times New Roman" w:hAnsi="Times New Roman" w:eastAsia="宋体"/>
          <w:sz w:val="20"/>
          <w:lang w:val="en-US" w:eastAsia="zh-CN"/>
        </w:rPr>
        <w:t>4</w:t>
      </w:r>
    </w:p>
    <w:p>
      <w:pPr>
        <w:pStyle w:val="23"/>
        <w:numPr>
          <w:ilvl w:val="0"/>
          <w:numId w:val="16"/>
        </w:numPr>
        <w:spacing w:before="0" w:beforeLines="0" w:afterLines="0" w:line="360" w:lineRule="auto"/>
        <w:ind w:left="0" w:leftChars="0" w:firstLine="0"/>
        <w:rPr>
          <w:rFonts w:ascii="Times New Roman" w:hAnsi="Times New Roman"/>
          <w:lang w:val="en-US" w:eastAsia="zh-CN"/>
        </w:rPr>
      </w:pPr>
      <w:r>
        <w:rPr>
          <w:rFonts w:hint="eastAsia" w:ascii="Times New Roman" w:hAnsi="Times New Roman"/>
          <w:lang w:val="en-US" w:eastAsia="zh-CN"/>
        </w:rPr>
        <w:t xml:space="preserve">RP-231489, </w:t>
      </w:r>
      <w:r>
        <w:rPr>
          <w:rFonts w:hint="default" w:ascii="Times New Roman" w:hAnsi="Times New Roman"/>
          <w:lang w:val="en-US" w:eastAsia="zh-CN"/>
        </w:rPr>
        <w:t>“Revised WID on Enhanced support of reduced capability NR devices ”</w:t>
      </w:r>
      <w:r>
        <w:rPr>
          <w:rFonts w:hint="eastAsia" w:ascii="Times New Roman" w:hAnsi="Times New Roman"/>
          <w:lang w:val="en-US" w:eastAsia="zh-CN"/>
        </w:rPr>
        <w:t>, RAN#100</w:t>
      </w:r>
    </w:p>
    <w:p>
      <w:pPr>
        <w:pStyle w:val="23"/>
        <w:numPr>
          <w:ilvl w:val="0"/>
          <w:numId w:val="16"/>
        </w:numPr>
        <w:spacing w:before="0" w:beforeLines="0" w:afterLines="0" w:line="360" w:lineRule="auto"/>
        <w:ind w:left="0" w:leftChars="0" w:firstLine="0"/>
        <w:rPr>
          <w:rFonts w:ascii="Times New Roman" w:hAnsi="Times New Roman"/>
          <w:lang w:val="en-US" w:eastAsia="zh-CN"/>
        </w:rPr>
      </w:pPr>
      <w:r>
        <w:rPr>
          <w:rFonts w:hint="default" w:ascii="Times New Roman" w:hAnsi="Times New Roman"/>
          <w:lang w:val="en-US" w:eastAsia="zh-CN"/>
        </w:rPr>
        <w:t>“Draft Report of 3GPP TSG RAN WG1 #113 v0.1.0” , RAN1#11</w:t>
      </w:r>
      <w:r>
        <w:rPr>
          <w:rFonts w:hint="eastAsia" w:ascii="Times New Roman" w:hAnsi="Times New Roman"/>
          <w:lang w:val="en-US" w:eastAsia="zh-CN"/>
        </w:rPr>
        <w:t>3</w:t>
      </w:r>
    </w:p>
    <w:p>
      <w:pPr>
        <w:pStyle w:val="23"/>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D140EFB1"/>
    <w:multiLevelType w:val="singleLevel"/>
    <w:tmpl w:val="D140EFB1"/>
    <w:lvl w:ilvl="0" w:tentative="0">
      <w:start w:val="1"/>
      <w:numFmt w:val="bullet"/>
      <w:lvlText w:val=""/>
      <w:lvlJc w:val="left"/>
      <w:pPr>
        <w:tabs>
          <w:tab w:val="left" w:pos="420"/>
        </w:tabs>
        <w:ind w:left="840" w:hanging="420"/>
      </w:pPr>
      <w:rPr>
        <w:rFonts w:hint="default" w:ascii="Wingdings" w:hAnsi="Wingdings"/>
      </w:rPr>
    </w:lvl>
  </w:abstractNum>
  <w:abstractNum w:abstractNumId="2">
    <w:nsid w:val="0A482743"/>
    <w:multiLevelType w:val="multilevel"/>
    <w:tmpl w:val="0A4827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FEA37C0"/>
    <w:multiLevelType w:val="multilevel"/>
    <w:tmpl w:val="0FEA37C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B13588E"/>
    <w:multiLevelType w:val="multilevel"/>
    <w:tmpl w:val="1B135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25225BF"/>
    <w:multiLevelType w:val="multilevel"/>
    <w:tmpl w:val="325225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3D40831"/>
    <w:multiLevelType w:val="multilevel"/>
    <w:tmpl w:val="33D408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BB54959"/>
    <w:multiLevelType w:val="multilevel"/>
    <w:tmpl w:val="3BB549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4302376"/>
    <w:multiLevelType w:val="multilevel"/>
    <w:tmpl w:val="4430237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61CD221"/>
    <w:multiLevelType w:val="singleLevel"/>
    <w:tmpl w:val="661CD221"/>
    <w:lvl w:ilvl="0" w:tentative="0">
      <w:start w:val="1"/>
      <w:numFmt w:val="bullet"/>
      <w:lvlText w:val=""/>
      <w:lvlJc w:val="left"/>
      <w:pPr>
        <w:ind w:left="420" w:hanging="420"/>
      </w:pPr>
      <w:rPr>
        <w:rFonts w:hint="default" w:ascii="Wingdings" w:hAnsi="Wingdings"/>
      </w:rPr>
    </w:lvl>
  </w:abstractNum>
  <w:abstractNum w:abstractNumId="12">
    <w:nsid w:val="6D8C5DBA"/>
    <w:multiLevelType w:val="multilevel"/>
    <w:tmpl w:val="6D8C5D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48F52EE"/>
    <w:multiLevelType w:val="multilevel"/>
    <w:tmpl w:val="748F52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7B12593"/>
    <w:multiLevelType w:val="multilevel"/>
    <w:tmpl w:val="77B12593"/>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eastAsia" w:ascii="宋体" w:hAnsi="宋体"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C2B58D6"/>
    <w:multiLevelType w:val="singleLevel"/>
    <w:tmpl w:val="7C2B58D6"/>
    <w:lvl w:ilvl="0" w:tentative="0">
      <w:start w:val="1"/>
      <w:numFmt w:val="bullet"/>
      <w:lvlText w:val=""/>
      <w:lvlJc w:val="left"/>
      <w:pPr>
        <w:tabs>
          <w:tab w:val="left" w:pos="1260"/>
        </w:tabs>
        <w:ind w:left="1680" w:hanging="420"/>
      </w:pPr>
      <w:rPr>
        <w:rFonts w:hint="default" w:ascii="Wingdings" w:hAnsi="Wingdings"/>
      </w:rPr>
    </w:lvl>
  </w:abstractNum>
  <w:num w:numId="1">
    <w:abstractNumId w:val="0"/>
  </w:num>
  <w:num w:numId="2">
    <w:abstractNumId w:val="8"/>
  </w:num>
  <w:num w:numId="3">
    <w:abstractNumId w:val="9"/>
  </w:num>
  <w:num w:numId="4">
    <w:abstractNumId w:val="5"/>
  </w:num>
  <w:num w:numId="5">
    <w:abstractNumId w:val="3"/>
  </w:num>
  <w:num w:numId="6">
    <w:abstractNumId w:val="2"/>
  </w:num>
  <w:num w:numId="7">
    <w:abstractNumId w:val="13"/>
  </w:num>
  <w:num w:numId="8">
    <w:abstractNumId w:val="4"/>
  </w:num>
  <w:num w:numId="9">
    <w:abstractNumId w:val="6"/>
  </w:num>
  <w:num w:numId="10">
    <w:abstractNumId w:val="11"/>
  </w:num>
  <w:num w:numId="11">
    <w:abstractNumId w:val="1"/>
  </w:num>
  <w:num w:numId="12">
    <w:abstractNumId w:val="14"/>
  </w:num>
  <w:num w:numId="13">
    <w:abstractNumId w:val="10"/>
  </w:num>
  <w:num w:numId="14">
    <w:abstractNumId w:val="12"/>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B3D0A"/>
    <w:rsid w:val="004C43F2"/>
    <w:rsid w:val="00521116"/>
    <w:rsid w:val="00A37C1C"/>
    <w:rsid w:val="00A87743"/>
    <w:rsid w:val="00D0754F"/>
    <w:rsid w:val="00D25C57"/>
    <w:rsid w:val="00E658FD"/>
    <w:rsid w:val="00E7058B"/>
    <w:rsid w:val="00EF4818"/>
    <w:rsid w:val="010334B8"/>
    <w:rsid w:val="01081B3E"/>
    <w:rsid w:val="01096691"/>
    <w:rsid w:val="01914021"/>
    <w:rsid w:val="01A5084E"/>
    <w:rsid w:val="01C95A51"/>
    <w:rsid w:val="01DE08B7"/>
    <w:rsid w:val="01FC7E4D"/>
    <w:rsid w:val="020E6E6E"/>
    <w:rsid w:val="022B099C"/>
    <w:rsid w:val="02366D2D"/>
    <w:rsid w:val="02821545"/>
    <w:rsid w:val="02AE06E2"/>
    <w:rsid w:val="02BA26ED"/>
    <w:rsid w:val="03292219"/>
    <w:rsid w:val="032D0C33"/>
    <w:rsid w:val="03333EBB"/>
    <w:rsid w:val="03600D99"/>
    <w:rsid w:val="039242F7"/>
    <w:rsid w:val="03C91325"/>
    <w:rsid w:val="03C91DEF"/>
    <w:rsid w:val="04296264"/>
    <w:rsid w:val="043D1681"/>
    <w:rsid w:val="046105A7"/>
    <w:rsid w:val="04664A43"/>
    <w:rsid w:val="048C0506"/>
    <w:rsid w:val="050B2FD3"/>
    <w:rsid w:val="057B238D"/>
    <w:rsid w:val="05BE0571"/>
    <w:rsid w:val="05C55C85"/>
    <w:rsid w:val="05CD6914"/>
    <w:rsid w:val="05F11FCC"/>
    <w:rsid w:val="062D641E"/>
    <w:rsid w:val="06467E10"/>
    <w:rsid w:val="06631006"/>
    <w:rsid w:val="0682513E"/>
    <w:rsid w:val="068B669D"/>
    <w:rsid w:val="06963DDF"/>
    <w:rsid w:val="06B22BCB"/>
    <w:rsid w:val="06B6596F"/>
    <w:rsid w:val="06D76DC6"/>
    <w:rsid w:val="06DB01C7"/>
    <w:rsid w:val="06FD7C23"/>
    <w:rsid w:val="07410D95"/>
    <w:rsid w:val="07412138"/>
    <w:rsid w:val="075014AD"/>
    <w:rsid w:val="075B4E21"/>
    <w:rsid w:val="079743E7"/>
    <w:rsid w:val="07A03B2F"/>
    <w:rsid w:val="07DE508C"/>
    <w:rsid w:val="083126FA"/>
    <w:rsid w:val="0843731D"/>
    <w:rsid w:val="08575FBE"/>
    <w:rsid w:val="08BE5FB6"/>
    <w:rsid w:val="08D602B0"/>
    <w:rsid w:val="08F161BC"/>
    <w:rsid w:val="09386CEF"/>
    <w:rsid w:val="093A776C"/>
    <w:rsid w:val="09546DE2"/>
    <w:rsid w:val="095E2632"/>
    <w:rsid w:val="09700C89"/>
    <w:rsid w:val="09731A1B"/>
    <w:rsid w:val="09891C4A"/>
    <w:rsid w:val="09C11875"/>
    <w:rsid w:val="0A940E9D"/>
    <w:rsid w:val="0A944117"/>
    <w:rsid w:val="0AA239BF"/>
    <w:rsid w:val="0AB5350C"/>
    <w:rsid w:val="0AC8754E"/>
    <w:rsid w:val="0AD04CB6"/>
    <w:rsid w:val="0B204305"/>
    <w:rsid w:val="0B4564A6"/>
    <w:rsid w:val="0B4F2D08"/>
    <w:rsid w:val="0B5645CC"/>
    <w:rsid w:val="0B5A0448"/>
    <w:rsid w:val="0B7E082A"/>
    <w:rsid w:val="0C0761ED"/>
    <w:rsid w:val="0C201AD9"/>
    <w:rsid w:val="0C3F70FC"/>
    <w:rsid w:val="0C6B3E4C"/>
    <w:rsid w:val="0C7A3E69"/>
    <w:rsid w:val="0CCC4667"/>
    <w:rsid w:val="0CD41A6D"/>
    <w:rsid w:val="0D080870"/>
    <w:rsid w:val="0D092E4F"/>
    <w:rsid w:val="0D3D618A"/>
    <w:rsid w:val="0D6E5C96"/>
    <w:rsid w:val="0D8008CF"/>
    <w:rsid w:val="0D9F3231"/>
    <w:rsid w:val="0DCC602F"/>
    <w:rsid w:val="0DFE15A3"/>
    <w:rsid w:val="0E2C3933"/>
    <w:rsid w:val="0E4D44EF"/>
    <w:rsid w:val="0EF85813"/>
    <w:rsid w:val="0F0B0B79"/>
    <w:rsid w:val="0F396010"/>
    <w:rsid w:val="0F3D018A"/>
    <w:rsid w:val="0F524340"/>
    <w:rsid w:val="0FBB3C35"/>
    <w:rsid w:val="0FCD6A7A"/>
    <w:rsid w:val="0FD746B6"/>
    <w:rsid w:val="0FD94151"/>
    <w:rsid w:val="0FF80ADD"/>
    <w:rsid w:val="107F6857"/>
    <w:rsid w:val="10931CC7"/>
    <w:rsid w:val="109E7152"/>
    <w:rsid w:val="10C54ADC"/>
    <w:rsid w:val="10F51AD3"/>
    <w:rsid w:val="11624912"/>
    <w:rsid w:val="11BC7B3F"/>
    <w:rsid w:val="123B45F5"/>
    <w:rsid w:val="123D56D9"/>
    <w:rsid w:val="12960691"/>
    <w:rsid w:val="12A365A3"/>
    <w:rsid w:val="12A44024"/>
    <w:rsid w:val="131D046B"/>
    <w:rsid w:val="135C7F4F"/>
    <w:rsid w:val="139559A9"/>
    <w:rsid w:val="139F60D9"/>
    <w:rsid w:val="13A67F63"/>
    <w:rsid w:val="13F554B1"/>
    <w:rsid w:val="14327D73"/>
    <w:rsid w:val="145C6F22"/>
    <w:rsid w:val="149C635D"/>
    <w:rsid w:val="14AC682E"/>
    <w:rsid w:val="14C53B07"/>
    <w:rsid w:val="14CB142B"/>
    <w:rsid w:val="14D80741"/>
    <w:rsid w:val="14F05DE7"/>
    <w:rsid w:val="15064236"/>
    <w:rsid w:val="15682461"/>
    <w:rsid w:val="15AD3A82"/>
    <w:rsid w:val="15BF12E4"/>
    <w:rsid w:val="15CE7E95"/>
    <w:rsid w:val="15E82AFC"/>
    <w:rsid w:val="16501227"/>
    <w:rsid w:val="170B1239"/>
    <w:rsid w:val="17326BFF"/>
    <w:rsid w:val="173340E6"/>
    <w:rsid w:val="1766497C"/>
    <w:rsid w:val="17846D8A"/>
    <w:rsid w:val="179358ED"/>
    <w:rsid w:val="17B13154"/>
    <w:rsid w:val="17EF5450"/>
    <w:rsid w:val="182A1DB2"/>
    <w:rsid w:val="183D7BCD"/>
    <w:rsid w:val="183E7952"/>
    <w:rsid w:val="187C1BBC"/>
    <w:rsid w:val="188259C1"/>
    <w:rsid w:val="18B21AD6"/>
    <w:rsid w:val="18EA08C6"/>
    <w:rsid w:val="19286D8E"/>
    <w:rsid w:val="19B6063F"/>
    <w:rsid w:val="19DB757A"/>
    <w:rsid w:val="19F743DF"/>
    <w:rsid w:val="1A682661"/>
    <w:rsid w:val="1A942215"/>
    <w:rsid w:val="1ACC2385"/>
    <w:rsid w:val="1AD0213C"/>
    <w:rsid w:val="1AE462AF"/>
    <w:rsid w:val="1AE945CD"/>
    <w:rsid w:val="1AF65748"/>
    <w:rsid w:val="1B450D4A"/>
    <w:rsid w:val="1BED197A"/>
    <w:rsid w:val="1BFF39FC"/>
    <w:rsid w:val="1C1823A7"/>
    <w:rsid w:val="1C274BC0"/>
    <w:rsid w:val="1C4A27F6"/>
    <w:rsid w:val="1CB908AC"/>
    <w:rsid w:val="1D176197"/>
    <w:rsid w:val="1D3A2CBF"/>
    <w:rsid w:val="1D4E0DE6"/>
    <w:rsid w:val="1D5F3C1E"/>
    <w:rsid w:val="1D786CA0"/>
    <w:rsid w:val="1ECD0317"/>
    <w:rsid w:val="1ED32220"/>
    <w:rsid w:val="1EF27252"/>
    <w:rsid w:val="1EF8454C"/>
    <w:rsid w:val="1F0868CC"/>
    <w:rsid w:val="1F1402D1"/>
    <w:rsid w:val="1F713F17"/>
    <w:rsid w:val="1FBF7ED9"/>
    <w:rsid w:val="1FEC2E86"/>
    <w:rsid w:val="20273EC1"/>
    <w:rsid w:val="203E1579"/>
    <w:rsid w:val="20486C30"/>
    <w:rsid w:val="20600576"/>
    <w:rsid w:val="20DA5585"/>
    <w:rsid w:val="20DC4847"/>
    <w:rsid w:val="20F14799"/>
    <w:rsid w:val="20FC2B2A"/>
    <w:rsid w:val="21330A85"/>
    <w:rsid w:val="213972AA"/>
    <w:rsid w:val="21486D50"/>
    <w:rsid w:val="214F5755"/>
    <w:rsid w:val="21556A3C"/>
    <w:rsid w:val="217B257A"/>
    <w:rsid w:val="21A041E8"/>
    <w:rsid w:val="21A835A0"/>
    <w:rsid w:val="21B1733E"/>
    <w:rsid w:val="21C71C6C"/>
    <w:rsid w:val="21F51F69"/>
    <w:rsid w:val="22112672"/>
    <w:rsid w:val="221A5E06"/>
    <w:rsid w:val="222A579A"/>
    <w:rsid w:val="224131C1"/>
    <w:rsid w:val="226804C4"/>
    <w:rsid w:val="22B456FE"/>
    <w:rsid w:val="22EB050E"/>
    <w:rsid w:val="22EE7297"/>
    <w:rsid w:val="22FD69AE"/>
    <w:rsid w:val="230B5C6A"/>
    <w:rsid w:val="23102595"/>
    <w:rsid w:val="23543698"/>
    <w:rsid w:val="235532CB"/>
    <w:rsid w:val="2378316C"/>
    <w:rsid w:val="23AB02F8"/>
    <w:rsid w:val="23E1725C"/>
    <w:rsid w:val="24222D39"/>
    <w:rsid w:val="242E2CD0"/>
    <w:rsid w:val="24770AA7"/>
    <w:rsid w:val="24805C6F"/>
    <w:rsid w:val="248C0279"/>
    <w:rsid w:val="249C66CB"/>
    <w:rsid w:val="24A835B0"/>
    <w:rsid w:val="24CF5058"/>
    <w:rsid w:val="24F02BBA"/>
    <w:rsid w:val="24F02CB3"/>
    <w:rsid w:val="253731E2"/>
    <w:rsid w:val="259733DB"/>
    <w:rsid w:val="259F0F36"/>
    <w:rsid w:val="25BF7538"/>
    <w:rsid w:val="25E25F7B"/>
    <w:rsid w:val="25FA3B44"/>
    <w:rsid w:val="26014383"/>
    <w:rsid w:val="26025AC5"/>
    <w:rsid w:val="26117D22"/>
    <w:rsid w:val="264E29E7"/>
    <w:rsid w:val="265817DB"/>
    <w:rsid w:val="26685E4E"/>
    <w:rsid w:val="266D09DC"/>
    <w:rsid w:val="26710598"/>
    <w:rsid w:val="26A420F1"/>
    <w:rsid w:val="26D50A2C"/>
    <w:rsid w:val="272E2055"/>
    <w:rsid w:val="27CE415D"/>
    <w:rsid w:val="27EB20ED"/>
    <w:rsid w:val="28090ABE"/>
    <w:rsid w:val="283F7913"/>
    <w:rsid w:val="286F3CE6"/>
    <w:rsid w:val="28C65A54"/>
    <w:rsid w:val="28F57152"/>
    <w:rsid w:val="29156672"/>
    <w:rsid w:val="29925D2E"/>
    <w:rsid w:val="29AA010A"/>
    <w:rsid w:val="29FA68D1"/>
    <w:rsid w:val="2A5218FD"/>
    <w:rsid w:val="2A827ECE"/>
    <w:rsid w:val="2A8E045D"/>
    <w:rsid w:val="2AEB718E"/>
    <w:rsid w:val="2B15743C"/>
    <w:rsid w:val="2B162C13"/>
    <w:rsid w:val="2B172940"/>
    <w:rsid w:val="2B20324F"/>
    <w:rsid w:val="2B347CF1"/>
    <w:rsid w:val="2C0525C8"/>
    <w:rsid w:val="2C153FA1"/>
    <w:rsid w:val="2C1A370D"/>
    <w:rsid w:val="2C3F7E23"/>
    <w:rsid w:val="2C71696C"/>
    <w:rsid w:val="2C9C42D9"/>
    <w:rsid w:val="2CC04EFA"/>
    <w:rsid w:val="2D312F7F"/>
    <w:rsid w:val="2D4C0361"/>
    <w:rsid w:val="2D855F3C"/>
    <w:rsid w:val="2DFE2383"/>
    <w:rsid w:val="2E194231"/>
    <w:rsid w:val="2E3458E0"/>
    <w:rsid w:val="2E934898"/>
    <w:rsid w:val="2ED90459"/>
    <w:rsid w:val="2EE4137C"/>
    <w:rsid w:val="2F280B6B"/>
    <w:rsid w:val="2FCF028E"/>
    <w:rsid w:val="2FF31539"/>
    <w:rsid w:val="303F6316"/>
    <w:rsid w:val="30A72E79"/>
    <w:rsid w:val="30C920B8"/>
    <w:rsid w:val="30F36EDD"/>
    <w:rsid w:val="31182819"/>
    <w:rsid w:val="31586882"/>
    <w:rsid w:val="315A7B86"/>
    <w:rsid w:val="315F1A90"/>
    <w:rsid w:val="31696F75"/>
    <w:rsid w:val="31726B52"/>
    <w:rsid w:val="31A96174"/>
    <w:rsid w:val="31E806EF"/>
    <w:rsid w:val="31F73CFB"/>
    <w:rsid w:val="32395E90"/>
    <w:rsid w:val="323D5BFB"/>
    <w:rsid w:val="32792BB7"/>
    <w:rsid w:val="32902DEB"/>
    <w:rsid w:val="329A7A4B"/>
    <w:rsid w:val="32F020EB"/>
    <w:rsid w:val="3300373A"/>
    <w:rsid w:val="334B2535"/>
    <w:rsid w:val="3356713D"/>
    <w:rsid w:val="33D577B5"/>
    <w:rsid w:val="33DF4AD8"/>
    <w:rsid w:val="33FA4C57"/>
    <w:rsid w:val="34022063"/>
    <w:rsid w:val="340D0031"/>
    <w:rsid w:val="344227AB"/>
    <w:rsid w:val="34712317"/>
    <w:rsid w:val="34D54F15"/>
    <w:rsid w:val="355F746B"/>
    <w:rsid w:val="3565215B"/>
    <w:rsid w:val="358F2AEF"/>
    <w:rsid w:val="35B567A6"/>
    <w:rsid w:val="35B873B1"/>
    <w:rsid w:val="3618394C"/>
    <w:rsid w:val="364C2EB6"/>
    <w:rsid w:val="36665823"/>
    <w:rsid w:val="36794C6B"/>
    <w:rsid w:val="36852913"/>
    <w:rsid w:val="371A47F4"/>
    <w:rsid w:val="37342E1F"/>
    <w:rsid w:val="37467121"/>
    <w:rsid w:val="374E39C9"/>
    <w:rsid w:val="377D6A97"/>
    <w:rsid w:val="37915A3E"/>
    <w:rsid w:val="37972EC4"/>
    <w:rsid w:val="379B18CA"/>
    <w:rsid w:val="37A2030E"/>
    <w:rsid w:val="37A54048"/>
    <w:rsid w:val="38662298"/>
    <w:rsid w:val="38CB386D"/>
    <w:rsid w:val="38D146E8"/>
    <w:rsid w:val="39003390"/>
    <w:rsid w:val="39456083"/>
    <w:rsid w:val="395A05A6"/>
    <w:rsid w:val="39B70940"/>
    <w:rsid w:val="39ED44B5"/>
    <w:rsid w:val="39FF0D34"/>
    <w:rsid w:val="3A8E6D2A"/>
    <w:rsid w:val="3A976FE1"/>
    <w:rsid w:val="3B296135"/>
    <w:rsid w:val="3B30272B"/>
    <w:rsid w:val="3B605478"/>
    <w:rsid w:val="3B702D5E"/>
    <w:rsid w:val="3B8B1B40"/>
    <w:rsid w:val="3BB75E87"/>
    <w:rsid w:val="3BD94DA7"/>
    <w:rsid w:val="3BDB6AF8"/>
    <w:rsid w:val="3BF24696"/>
    <w:rsid w:val="3C077299"/>
    <w:rsid w:val="3C5E1B18"/>
    <w:rsid w:val="3C6B33AC"/>
    <w:rsid w:val="3CBF66BA"/>
    <w:rsid w:val="3CC505C3"/>
    <w:rsid w:val="3CCB4B07"/>
    <w:rsid w:val="3CF31043"/>
    <w:rsid w:val="3D045D81"/>
    <w:rsid w:val="3D0955CD"/>
    <w:rsid w:val="3D8B16BA"/>
    <w:rsid w:val="3DA42D80"/>
    <w:rsid w:val="3DB21145"/>
    <w:rsid w:val="3DD3111B"/>
    <w:rsid w:val="3E243A02"/>
    <w:rsid w:val="3E5F4689"/>
    <w:rsid w:val="3EC724A8"/>
    <w:rsid w:val="3F3570C3"/>
    <w:rsid w:val="3F492FB3"/>
    <w:rsid w:val="3F651E10"/>
    <w:rsid w:val="3F6C7E79"/>
    <w:rsid w:val="3F884A5E"/>
    <w:rsid w:val="3FC12F51"/>
    <w:rsid w:val="3FC6532D"/>
    <w:rsid w:val="404104F9"/>
    <w:rsid w:val="40520794"/>
    <w:rsid w:val="40585F20"/>
    <w:rsid w:val="405B6EA5"/>
    <w:rsid w:val="406F22C2"/>
    <w:rsid w:val="407F5DE0"/>
    <w:rsid w:val="40946A23"/>
    <w:rsid w:val="409D5390"/>
    <w:rsid w:val="40A53650"/>
    <w:rsid w:val="4137558E"/>
    <w:rsid w:val="41600151"/>
    <w:rsid w:val="41603818"/>
    <w:rsid w:val="41B53228"/>
    <w:rsid w:val="41C60DB3"/>
    <w:rsid w:val="41DB2819"/>
    <w:rsid w:val="422501CE"/>
    <w:rsid w:val="427B248A"/>
    <w:rsid w:val="42A81C3F"/>
    <w:rsid w:val="42A81EAB"/>
    <w:rsid w:val="42E5654F"/>
    <w:rsid w:val="42E62A04"/>
    <w:rsid w:val="42EC395B"/>
    <w:rsid w:val="42F3528E"/>
    <w:rsid w:val="430A058D"/>
    <w:rsid w:val="43254DBA"/>
    <w:rsid w:val="43993D8E"/>
    <w:rsid w:val="43A01007"/>
    <w:rsid w:val="43E56B7B"/>
    <w:rsid w:val="44495E16"/>
    <w:rsid w:val="44711559"/>
    <w:rsid w:val="449700C1"/>
    <w:rsid w:val="44C04B5B"/>
    <w:rsid w:val="44DF4AD3"/>
    <w:rsid w:val="45643FA0"/>
    <w:rsid w:val="45806EC3"/>
    <w:rsid w:val="458A5B63"/>
    <w:rsid w:val="458B5528"/>
    <w:rsid w:val="46117980"/>
    <w:rsid w:val="46126F72"/>
    <w:rsid w:val="461B5D11"/>
    <w:rsid w:val="46477E5A"/>
    <w:rsid w:val="46686C9E"/>
    <w:rsid w:val="46CC2197"/>
    <w:rsid w:val="47341CB9"/>
    <w:rsid w:val="473964E9"/>
    <w:rsid w:val="47596A1D"/>
    <w:rsid w:val="476C4C8D"/>
    <w:rsid w:val="478F75F0"/>
    <w:rsid w:val="47CA5A26"/>
    <w:rsid w:val="47D1242C"/>
    <w:rsid w:val="48066B36"/>
    <w:rsid w:val="48403498"/>
    <w:rsid w:val="48570EBF"/>
    <w:rsid w:val="487758BD"/>
    <w:rsid w:val="488E5A9B"/>
    <w:rsid w:val="48AF1F07"/>
    <w:rsid w:val="48B225B7"/>
    <w:rsid w:val="48B64E60"/>
    <w:rsid w:val="48F12CEE"/>
    <w:rsid w:val="4938000E"/>
    <w:rsid w:val="4943682E"/>
    <w:rsid w:val="498558F4"/>
    <w:rsid w:val="499424C3"/>
    <w:rsid w:val="4A523E05"/>
    <w:rsid w:val="4A566406"/>
    <w:rsid w:val="4A603492"/>
    <w:rsid w:val="4A6F7A71"/>
    <w:rsid w:val="4A896855"/>
    <w:rsid w:val="4ABC3BAC"/>
    <w:rsid w:val="4ACC6911"/>
    <w:rsid w:val="4B4016F3"/>
    <w:rsid w:val="4B453C14"/>
    <w:rsid w:val="4B727B1B"/>
    <w:rsid w:val="4BB46FD1"/>
    <w:rsid w:val="4BB54D88"/>
    <w:rsid w:val="4C0B1225"/>
    <w:rsid w:val="4C750F78"/>
    <w:rsid w:val="4CB6277A"/>
    <w:rsid w:val="4D121D34"/>
    <w:rsid w:val="4D7A3398"/>
    <w:rsid w:val="4E000105"/>
    <w:rsid w:val="4E5B34CB"/>
    <w:rsid w:val="4E897B66"/>
    <w:rsid w:val="4E9D1289"/>
    <w:rsid w:val="4EE53BFB"/>
    <w:rsid w:val="4EEF51A5"/>
    <w:rsid w:val="4EF33F37"/>
    <w:rsid w:val="4F1254C3"/>
    <w:rsid w:val="4F29663B"/>
    <w:rsid w:val="4F2F631B"/>
    <w:rsid w:val="4F3C0010"/>
    <w:rsid w:val="4F4A0C44"/>
    <w:rsid w:val="4F4F517C"/>
    <w:rsid w:val="4F687927"/>
    <w:rsid w:val="4F706F0D"/>
    <w:rsid w:val="4F932A9A"/>
    <w:rsid w:val="4F9C5F67"/>
    <w:rsid w:val="50342624"/>
    <w:rsid w:val="50617C70"/>
    <w:rsid w:val="50847496"/>
    <w:rsid w:val="508D0734"/>
    <w:rsid w:val="508F4388"/>
    <w:rsid w:val="509748C6"/>
    <w:rsid w:val="50B8067E"/>
    <w:rsid w:val="50CE6F9F"/>
    <w:rsid w:val="51191C31"/>
    <w:rsid w:val="513671C8"/>
    <w:rsid w:val="5173552E"/>
    <w:rsid w:val="51774DB4"/>
    <w:rsid w:val="517A638F"/>
    <w:rsid w:val="517D50F1"/>
    <w:rsid w:val="518122C6"/>
    <w:rsid w:val="51BA56A1"/>
    <w:rsid w:val="51D51D50"/>
    <w:rsid w:val="51EA4273"/>
    <w:rsid w:val="522378D0"/>
    <w:rsid w:val="52324668"/>
    <w:rsid w:val="523873B8"/>
    <w:rsid w:val="525E29B5"/>
    <w:rsid w:val="52717D1C"/>
    <w:rsid w:val="528A181C"/>
    <w:rsid w:val="52CD3145"/>
    <w:rsid w:val="52EF249C"/>
    <w:rsid w:val="52FF50A3"/>
    <w:rsid w:val="531E1B16"/>
    <w:rsid w:val="535321C1"/>
    <w:rsid w:val="535B7AFB"/>
    <w:rsid w:val="53F961D2"/>
    <w:rsid w:val="542A2224"/>
    <w:rsid w:val="54322216"/>
    <w:rsid w:val="544A7794"/>
    <w:rsid w:val="544F0576"/>
    <w:rsid w:val="545F13F9"/>
    <w:rsid w:val="54766E20"/>
    <w:rsid w:val="547748A2"/>
    <w:rsid w:val="549A5874"/>
    <w:rsid w:val="54C12E33"/>
    <w:rsid w:val="54C77B24"/>
    <w:rsid w:val="54C923B1"/>
    <w:rsid w:val="551054EB"/>
    <w:rsid w:val="5526593F"/>
    <w:rsid w:val="553C3366"/>
    <w:rsid w:val="557A6439"/>
    <w:rsid w:val="559B138A"/>
    <w:rsid w:val="55E404D5"/>
    <w:rsid w:val="560A4E69"/>
    <w:rsid w:val="56132672"/>
    <w:rsid w:val="564E44A8"/>
    <w:rsid w:val="569B0ED4"/>
    <w:rsid w:val="56B6720F"/>
    <w:rsid w:val="56CE33F3"/>
    <w:rsid w:val="56E865F9"/>
    <w:rsid w:val="57420238"/>
    <w:rsid w:val="575514CD"/>
    <w:rsid w:val="57566604"/>
    <w:rsid w:val="57577640"/>
    <w:rsid w:val="575A1224"/>
    <w:rsid w:val="57F21DC7"/>
    <w:rsid w:val="58036524"/>
    <w:rsid w:val="586E14BF"/>
    <w:rsid w:val="588F186B"/>
    <w:rsid w:val="58AD748A"/>
    <w:rsid w:val="58AD7D6B"/>
    <w:rsid w:val="58CE79BF"/>
    <w:rsid w:val="58FC2A8C"/>
    <w:rsid w:val="591539B6"/>
    <w:rsid w:val="595B14B9"/>
    <w:rsid w:val="598E457A"/>
    <w:rsid w:val="599F5B19"/>
    <w:rsid w:val="5A687BD7"/>
    <w:rsid w:val="5ABC3E58"/>
    <w:rsid w:val="5ACF2987"/>
    <w:rsid w:val="5AE625AD"/>
    <w:rsid w:val="5B0950EB"/>
    <w:rsid w:val="5B397E38"/>
    <w:rsid w:val="5C0813BB"/>
    <w:rsid w:val="5C1839E9"/>
    <w:rsid w:val="5C2432B9"/>
    <w:rsid w:val="5C603B63"/>
    <w:rsid w:val="5CC93A47"/>
    <w:rsid w:val="5CE31FB3"/>
    <w:rsid w:val="5CF94596"/>
    <w:rsid w:val="5CFC551B"/>
    <w:rsid w:val="5D702D81"/>
    <w:rsid w:val="5D8F6F3F"/>
    <w:rsid w:val="5DF16D2C"/>
    <w:rsid w:val="5E4C6141"/>
    <w:rsid w:val="5E5830B6"/>
    <w:rsid w:val="5E9033B3"/>
    <w:rsid w:val="5ECA6000"/>
    <w:rsid w:val="5EE15B23"/>
    <w:rsid w:val="5F1E4324"/>
    <w:rsid w:val="5F8D2114"/>
    <w:rsid w:val="5F946831"/>
    <w:rsid w:val="5FA34174"/>
    <w:rsid w:val="5FF40A7C"/>
    <w:rsid w:val="60503394"/>
    <w:rsid w:val="606737AA"/>
    <w:rsid w:val="60E73525"/>
    <w:rsid w:val="61161572"/>
    <w:rsid w:val="61A907DA"/>
    <w:rsid w:val="61BE4069"/>
    <w:rsid w:val="61C21F70"/>
    <w:rsid w:val="61CB5D59"/>
    <w:rsid w:val="61FC0E51"/>
    <w:rsid w:val="61FF3FD4"/>
    <w:rsid w:val="625957CD"/>
    <w:rsid w:val="62BC56E3"/>
    <w:rsid w:val="62C87348"/>
    <w:rsid w:val="62EF34B9"/>
    <w:rsid w:val="62F95EDE"/>
    <w:rsid w:val="62FF1157"/>
    <w:rsid w:val="634001E3"/>
    <w:rsid w:val="63AE2A15"/>
    <w:rsid w:val="63E31B13"/>
    <w:rsid w:val="63F1289C"/>
    <w:rsid w:val="644C405D"/>
    <w:rsid w:val="64B0665A"/>
    <w:rsid w:val="651C4271"/>
    <w:rsid w:val="65B87C60"/>
    <w:rsid w:val="65CC54F7"/>
    <w:rsid w:val="65DA25C0"/>
    <w:rsid w:val="661D3BC6"/>
    <w:rsid w:val="6626064F"/>
    <w:rsid w:val="663549B3"/>
    <w:rsid w:val="664F4F7E"/>
    <w:rsid w:val="667E4DB2"/>
    <w:rsid w:val="66A34FF2"/>
    <w:rsid w:val="66AE6C06"/>
    <w:rsid w:val="66D4616C"/>
    <w:rsid w:val="67477A69"/>
    <w:rsid w:val="67806F5E"/>
    <w:rsid w:val="678F5EF4"/>
    <w:rsid w:val="67A42616"/>
    <w:rsid w:val="67B44AC0"/>
    <w:rsid w:val="67D5446A"/>
    <w:rsid w:val="68012776"/>
    <w:rsid w:val="68073EC9"/>
    <w:rsid w:val="686D205F"/>
    <w:rsid w:val="68A128B9"/>
    <w:rsid w:val="68BB7B14"/>
    <w:rsid w:val="68E1201D"/>
    <w:rsid w:val="68F128DF"/>
    <w:rsid w:val="699A657E"/>
    <w:rsid w:val="69CE2026"/>
    <w:rsid w:val="6A03709F"/>
    <w:rsid w:val="6A921170"/>
    <w:rsid w:val="6AA64288"/>
    <w:rsid w:val="6AAD28D9"/>
    <w:rsid w:val="6AB60C9F"/>
    <w:rsid w:val="6AC7223E"/>
    <w:rsid w:val="6B02197F"/>
    <w:rsid w:val="6B20701A"/>
    <w:rsid w:val="6BB875C8"/>
    <w:rsid w:val="6BC85664"/>
    <w:rsid w:val="6C39469E"/>
    <w:rsid w:val="6C397FC7"/>
    <w:rsid w:val="6C4504B1"/>
    <w:rsid w:val="6CD81C1E"/>
    <w:rsid w:val="6CE978CE"/>
    <w:rsid w:val="6CF62C08"/>
    <w:rsid w:val="6CF74EF3"/>
    <w:rsid w:val="6D270AA3"/>
    <w:rsid w:val="6D561817"/>
    <w:rsid w:val="6D6C5D15"/>
    <w:rsid w:val="6DA24B6A"/>
    <w:rsid w:val="6E146A14"/>
    <w:rsid w:val="6E1C4834"/>
    <w:rsid w:val="6E232EF1"/>
    <w:rsid w:val="6E360C61"/>
    <w:rsid w:val="6E3B14E9"/>
    <w:rsid w:val="6E610B30"/>
    <w:rsid w:val="6E7716CA"/>
    <w:rsid w:val="6E8A0C0F"/>
    <w:rsid w:val="6E8C0BE2"/>
    <w:rsid w:val="6EB26818"/>
    <w:rsid w:val="6EB73A9A"/>
    <w:rsid w:val="6EB766A5"/>
    <w:rsid w:val="6ECF37E2"/>
    <w:rsid w:val="6EDA6A7D"/>
    <w:rsid w:val="6F12372D"/>
    <w:rsid w:val="6F165D50"/>
    <w:rsid w:val="6F7F1EFD"/>
    <w:rsid w:val="6FA21C45"/>
    <w:rsid w:val="6FBD0389"/>
    <w:rsid w:val="70586A83"/>
    <w:rsid w:val="709177BB"/>
    <w:rsid w:val="70D04FAA"/>
    <w:rsid w:val="71085217"/>
    <w:rsid w:val="710D5413"/>
    <w:rsid w:val="712C7C8C"/>
    <w:rsid w:val="713759CB"/>
    <w:rsid w:val="71487ACE"/>
    <w:rsid w:val="716952A0"/>
    <w:rsid w:val="71C165F4"/>
    <w:rsid w:val="72396872"/>
    <w:rsid w:val="72427182"/>
    <w:rsid w:val="72602955"/>
    <w:rsid w:val="727A40E0"/>
    <w:rsid w:val="73402061"/>
    <w:rsid w:val="736E0E6D"/>
    <w:rsid w:val="738E3316"/>
    <w:rsid w:val="73C2417B"/>
    <w:rsid w:val="73D24415"/>
    <w:rsid w:val="7455116B"/>
    <w:rsid w:val="745F6C7C"/>
    <w:rsid w:val="74653984"/>
    <w:rsid w:val="74A55024"/>
    <w:rsid w:val="750072B4"/>
    <w:rsid w:val="751167ED"/>
    <w:rsid w:val="766B7857"/>
    <w:rsid w:val="76732C9D"/>
    <w:rsid w:val="769F2D64"/>
    <w:rsid w:val="76A46677"/>
    <w:rsid w:val="76BF0DED"/>
    <w:rsid w:val="77131D70"/>
    <w:rsid w:val="7728018A"/>
    <w:rsid w:val="7732281D"/>
    <w:rsid w:val="77480F82"/>
    <w:rsid w:val="77492442"/>
    <w:rsid w:val="777F291C"/>
    <w:rsid w:val="778F795D"/>
    <w:rsid w:val="77E524BA"/>
    <w:rsid w:val="7805161F"/>
    <w:rsid w:val="78952465"/>
    <w:rsid w:val="78A56E7C"/>
    <w:rsid w:val="78D366C6"/>
    <w:rsid w:val="78EA1B6E"/>
    <w:rsid w:val="78F114F9"/>
    <w:rsid w:val="794B1971"/>
    <w:rsid w:val="7961146B"/>
    <w:rsid w:val="798B53DB"/>
    <w:rsid w:val="79C23DD0"/>
    <w:rsid w:val="79C248BF"/>
    <w:rsid w:val="79E6728C"/>
    <w:rsid w:val="79EE5F19"/>
    <w:rsid w:val="7A442306"/>
    <w:rsid w:val="7A6359F5"/>
    <w:rsid w:val="7A83640D"/>
    <w:rsid w:val="7ACF3E92"/>
    <w:rsid w:val="7B315C9C"/>
    <w:rsid w:val="7B585E3C"/>
    <w:rsid w:val="7B6D768F"/>
    <w:rsid w:val="7B7E06C4"/>
    <w:rsid w:val="7B9052C5"/>
    <w:rsid w:val="7BC703CB"/>
    <w:rsid w:val="7BC86AA4"/>
    <w:rsid w:val="7BFC5DC1"/>
    <w:rsid w:val="7C140848"/>
    <w:rsid w:val="7C140FA4"/>
    <w:rsid w:val="7C2524E2"/>
    <w:rsid w:val="7C585A30"/>
    <w:rsid w:val="7C6159BC"/>
    <w:rsid w:val="7C7E29CD"/>
    <w:rsid w:val="7C815CBD"/>
    <w:rsid w:val="7C9877BF"/>
    <w:rsid w:val="7D314F01"/>
    <w:rsid w:val="7D4F649D"/>
    <w:rsid w:val="7D551EE0"/>
    <w:rsid w:val="7D564C1D"/>
    <w:rsid w:val="7DC616C1"/>
    <w:rsid w:val="7DD2457A"/>
    <w:rsid w:val="7E582255"/>
    <w:rsid w:val="7E631894"/>
    <w:rsid w:val="7EA02EFE"/>
    <w:rsid w:val="7EB738F3"/>
    <w:rsid w:val="7ED75578"/>
    <w:rsid w:val="7F0D0A7F"/>
    <w:rsid w:val="7F151C89"/>
    <w:rsid w:val="7F7E58BB"/>
    <w:rsid w:val="7FA96067"/>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99"/>
    <w:rPr>
      <w:color w:val="0000FF"/>
      <w:u w:val="single"/>
    </w:rPr>
  </w:style>
  <w:style w:type="paragraph" w:customStyle="1" w:styleId="22">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3">
    <w:name w:val="List Paragraph"/>
    <w:basedOn w:val="1"/>
    <w:qFormat/>
    <w:uiPriority w:val="34"/>
    <w:pPr>
      <w:spacing w:after="0"/>
      <w:ind w:left="840" w:leftChars="400" w:hanging="1440"/>
    </w:pPr>
    <w:rPr>
      <w:rFonts w:ascii="Times" w:hAnsi="Times" w:eastAsia="Batang"/>
      <w:szCs w:val="24"/>
    </w:rPr>
  </w:style>
  <w:style w:type="table" w:customStyle="1" w:styleId="24">
    <w:name w:val="Grid Table Light"/>
    <w:basedOn w:val="18"/>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99"/>
    <w:pPr>
      <w:keepNext/>
      <w:keepLines/>
      <w:spacing w:after="0"/>
    </w:pPr>
    <w:rPr>
      <w:rFonts w:ascii="Arial" w:hAnsi="Arial"/>
      <w:sz w:val="18"/>
    </w:rPr>
  </w:style>
  <w:style w:type="paragraph" w:customStyle="1" w:styleId="29">
    <w:name w:val="B1"/>
    <w:basedOn w:val="15"/>
    <w:qFormat/>
    <w:uiPriority w:val="0"/>
    <w:pPr>
      <w:ind w:left="568" w:hanging="284"/>
    </w:pPr>
  </w:style>
  <w:style w:type="paragraph" w:customStyle="1" w:styleId="30">
    <w:name w:val="EQ"/>
    <w:basedOn w:val="1"/>
    <w:next w:val="1"/>
    <w:qFormat/>
    <w:uiPriority w:val="0"/>
    <w:pPr>
      <w:keepLines/>
      <w:tabs>
        <w:tab w:val="center" w:pos="4536"/>
        <w:tab w:val="right" w:pos="9072"/>
      </w:tabs>
    </w:pPr>
  </w:style>
  <w:style w:type="paragraph" w:customStyle="1" w:styleId="31">
    <w:name w:val="B2"/>
    <w:basedOn w:val="14"/>
    <w:qFormat/>
    <w:uiPriority w:val="0"/>
  </w:style>
  <w:style w:type="paragraph" w:customStyle="1" w:styleId="32">
    <w:name w:val="NO"/>
    <w:basedOn w:val="1"/>
    <w:qFormat/>
    <w:uiPriority w:val="0"/>
    <w:pPr>
      <w:keepLines/>
      <w:ind w:left="1135" w:hanging="851"/>
    </w:pPr>
  </w:style>
  <w:style w:type="character" w:customStyle="1" w:styleId="33">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5">
    <w:name w:val="B4"/>
    <w:basedOn w:val="1"/>
    <w:qFormat/>
    <w:uiPriority w:val="0"/>
    <w:pPr>
      <w:ind w:left="1418" w:hanging="284"/>
    </w:pPr>
  </w:style>
  <w:style w:type="paragraph" w:customStyle="1" w:styleId="36">
    <w:name w:val="B5"/>
    <w:basedOn w:val="1"/>
    <w:qFormat/>
    <w:uiPriority w:val="0"/>
    <w:pPr>
      <w:ind w:left="1702" w:hanging="284"/>
    </w:pPr>
  </w:style>
  <w:style w:type="paragraph" w:customStyle="1" w:styleId="37">
    <w:name w:val="B3"/>
    <w:basedOn w:val="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4</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2023-09-28T06:20:55Z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